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color="FFFFFF" w:sz="0"/>
              <w:left w:val="none" w:color="FFFFFF" w:sz="0"/>
              <w:bottom w:val="none" w:color="FFFFFF" w:sz="0"/>
              <w:right w:val="none" w:color="FFFFFF" w:sz="0"/>
            </w:tcBorders>
            <w:shd w:fill="0D1B2A" w:color="auto" w:val="clear"/>
            <w:tcMar>
              <w:top w:type="dxa" w:w="150"/>
              <w:left w:type="dxa" w:w="200"/>
              <w:bottom w:type="dxa" w:w="150"/>
              <w:right w:type="dxa" w:w="200"/>
            </w:tcMar>
            <w:vAlign w:val="top"/>
          </w:tcPr>
          <w:p>
            <w:pPr>
              <w:spacing w:before="60" w:after="16"/>
              <w:jc w:val="center"/>
            </w:pPr>
            <w:r>
              <w:rPr>
                <w:rFonts w:ascii="Calibri" w:cs="Calibri" w:eastAsia="Calibri" w:hAnsi="Calibri"/>
                <w:b/>
                <w:bCs/>
                <w:i w:val="false"/>
                <w:iCs w:val="false"/>
                <w:color w:val="C8963E"/>
                <w:sz w:val="20"/>
                <w:szCs w:val="20"/>
              </w:rPr>
              <w:t xml:space="preserve">ETUDE DE CAS N°1</w:t>
            </w:r>
          </w:p>
          <w:p>
            <w:pPr>
              <w:spacing w:before="0" w:after="10"/>
              <w:jc w:val="center"/>
            </w:pPr>
            <w:r>
              <w:rPr>
                <w:rFonts w:ascii="Calibri" w:cs="Calibri" w:eastAsia="Calibri" w:hAnsi="Calibri"/>
                <w:b/>
                <w:bCs/>
                <w:i w:val="false"/>
                <w:iCs w:val="false"/>
                <w:color w:val="FFFFFF"/>
                <w:sz w:val="38"/>
                <w:szCs w:val="38"/>
              </w:rPr>
              <w:t xml:space="preserve">PVC EXTRUSION PLUS</w:t>
            </w:r>
          </w:p>
          <w:p>
            <w:pPr>
              <w:spacing w:before="0" w:after="60"/>
              <w:jc w:val="center"/>
            </w:pPr>
            <w:r>
              <w:rPr>
                <w:rFonts w:ascii="Calibri" w:cs="Calibri" w:eastAsia="Calibri" w:hAnsi="Calibri"/>
                <w:b w:val="false"/>
                <w:bCs w:val="false"/>
                <w:i/>
                <w:iCs/>
                <w:color w:val="A8C4DC"/>
                <w:sz w:val="20"/>
                <w:szCs w:val="20"/>
              </w:rPr>
              <w:t xml:space="preserve">Mission SMED et Six Sigma sur Ligne d'Extrusion N°3</w:t>
            </w:r>
          </w:p>
        </w:tc>
      </w:tr>
    </w:tbl>
    <w:p>
      <w:pPr>
        <w:spacing w:before="80" w:after="6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476"/>
        <w:gridCol w:w="2476"/>
        <w:gridCol w:w="2476"/>
        <w:gridCol w:w="2478"/>
      </w:tblGrid>
      <w:tr>
        <w:trPr>
          <w:tblHeader w:val="false"/>
        </w:trPr>
        <w:tc>
          <w:tcPr>
            <w:tcW w:type="dxa" w:w="2476"/>
            <w:tcBorders>
              <w:top w:val="none" w:color="FFFFFF" w:sz="0"/>
              <w:left w:val="none" w:color="FFFFFF" w:sz="0"/>
              <w:bottom w:val="none" w:color="FFFFFF" w:sz="0"/>
              <w:right w:val="none" w:color="FFFFFF" w:sz="0"/>
            </w:tcBorders>
            <w:shd w:fill="1B3A5C" w:color="auto" w:val="clear"/>
            <w:tcMar>
              <w:top w:type="dxa" w:w="80"/>
              <w:left w:type="dxa" w:w="120"/>
              <w:bottom w:type="dxa" w:w="80"/>
              <w:right w:type="dxa" w:w="120"/>
            </w:tcMar>
            <w:vAlign w:val="top"/>
          </w:tcPr>
          <w:p>
            <w:pPr>
              <w:spacing w:before="30" w:after="10"/>
              <w:jc w:val="center"/>
            </w:pPr>
            <w:r>
              <w:rPr>
                <w:rFonts w:ascii="Calibri" w:cs="Calibri" w:eastAsia="Calibri" w:hAnsi="Calibri"/>
                <w:b/>
                <w:bCs/>
                <w:i w:val="false"/>
                <w:iCs w:val="false"/>
                <w:color w:val="FFFFFF"/>
                <w:sz w:val="16"/>
                <w:szCs w:val="16"/>
              </w:rPr>
              <w:t xml:space="preserve">SECTEUR</w:t>
            </w:r>
          </w:p>
          <w:p>
            <w:pPr>
              <w:spacing w:before="0" w:after="30"/>
              <w:jc w:val="center"/>
            </w:pPr>
            <w:r>
              <w:rPr>
                <w:rFonts w:ascii="Calibri" w:cs="Calibri" w:eastAsia="Calibri" w:hAnsi="Calibri"/>
                <w:b w:val="false"/>
                <w:bCs w:val="false"/>
                <w:i w:val="false"/>
                <w:iCs w:val="false"/>
                <w:color w:val="FFFFFF"/>
                <w:sz w:val="18"/>
                <w:szCs w:val="18"/>
              </w:rPr>
              <w:t xml:space="preserve">Industrie
Extrusion PVC</w:t>
            </w:r>
          </w:p>
        </w:tc>
        <w:tc>
          <w:tcPr>
            <w:tcW w:type="dxa" w:w="2476"/>
            <w:tcBorders>
              <w:top w:val="none" w:color="FFFFFF" w:sz="0"/>
              <w:left w:val="none" w:color="FFFFFF" w:sz="0"/>
              <w:bottom w:val="none" w:color="FFFFFF" w:sz="0"/>
              <w:right w:val="none" w:color="FFFFFF" w:sz="0"/>
            </w:tcBorders>
            <w:shd w:fill="2E6DA4" w:color="auto" w:val="clear"/>
            <w:tcMar>
              <w:top w:type="dxa" w:w="80"/>
              <w:left w:type="dxa" w:w="120"/>
              <w:bottom w:type="dxa" w:w="80"/>
              <w:right w:type="dxa" w:w="120"/>
            </w:tcMar>
            <w:vAlign w:val="top"/>
          </w:tcPr>
          <w:p>
            <w:pPr>
              <w:spacing w:before="30" w:after="10"/>
              <w:jc w:val="center"/>
            </w:pPr>
            <w:r>
              <w:rPr>
                <w:rFonts w:ascii="Calibri" w:cs="Calibri" w:eastAsia="Calibri" w:hAnsi="Calibri"/>
                <w:b/>
                <w:bCs/>
                <w:i w:val="false"/>
                <w:iCs w:val="false"/>
                <w:color w:val="FFFFFF"/>
                <w:sz w:val="16"/>
                <w:szCs w:val="16"/>
              </w:rPr>
              <w:t xml:space="preserve">DUREE</w:t>
            </w:r>
          </w:p>
          <w:p>
            <w:pPr>
              <w:spacing w:before="0" w:after="30"/>
              <w:jc w:val="center"/>
            </w:pPr>
            <w:r>
              <w:rPr>
                <w:rFonts w:ascii="Calibri" w:cs="Calibri" w:eastAsia="Calibri" w:hAnsi="Calibri"/>
                <w:b w:val="false"/>
                <w:bCs w:val="false"/>
                <w:i w:val="false"/>
                <w:iCs w:val="false"/>
                <w:color w:val="FFFFFF"/>
                <w:sz w:val="18"/>
                <w:szCs w:val="18"/>
              </w:rPr>
              <w:t xml:space="preserve">4 mois</w:t>
            </w:r>
          </w:p>
        </w:tc>
        <w:tc>
          <w:tcPr>
            <w:tcW w:type="dxa" w:w="2476"/>
            <w:tcBorders>
              <w:top w:val="none" w:color="FFFFFF" w:sz="0"/>
              <w:left w:val="none" w:color="FFFFFF" w:sz="0"/>
              <w:bottom w:val="none" w:color="FFFFFF" w:sz="0"/>
              <w:right w:val="none" w:color="FFFFFF" w:sz="0"/>
            </w:tcBorders>
            <w:shd w:fill="C8963E" w:color="auto" w:val="clear"/>
            <w:tcMar>
              <w:top w:type="dxa" w:w="80"/>
              <w:left w:type="dxa" w:w="120"/>
              <w:bottom w:type="dxa" w:w="80"/>
              <w:right w:type="dxa" w:w="120"/>
            </w:tcMar>
            <w:vAlign w:val="top"/>
          </w:tcPr>
          <w:p>
            <w:pPr>
              <w:spacing w:before="30" w:after="10"/>
              <w:jc w:val="center"/>
            </w:pPr>
            <w:r>
              <w:rPr>
                <w:rFonts w:ascii="Calibri" w:cs="Calibri" w:eastAsia="Calibri" w:hAnsi="Calibri"/>
                <w:b/>
                <w:bCs/>
                <w:i w:val="false"/>
                <w:iCs w:val="false"/>
                <w:color w:val="0D1B2A"/>
                <w:sz w:val="16"/>
                <w:szCs w:val="16"/>
              </w:rPr>
              <w:t xml:space="preserve">ROI</w:t>
            </w:r>
          </w:p>
          <w:p>
            <w:pPr>
              <w:spacing w:before="0" w:after="30"/>
              <w:jc w:val="center"/>
            </w:pPr>
            <w:r>
              <w:rPr>
                <w:rFonts w:ascii="Calibri" w:cs="Calibri" w:eastAsia="Calibri" w:hAnsi="Calibri"/>
                <w:b/>
                <w:bCs/>
                <w:i w:val="false"/>
                <w:iCs w:val="false"/>
                <w:color w:val="0D1B2A"/>
                <w:sz w:val="22"/>
                <w:szCs w:val="22"/>
              </w:rPr>
              <w:t xml:space="preserve">200%</w:t>
            </w:r>
          </w:p>
        </w:tc>
        <w:tc>
          <w:tcPr>
            <w:tcW w:type="dxa" w:w="2478"/>
            <w:tcBorders>
              <w:top w:val="none" w:color="FFFFFF" w:sz="0"/>
              <w:left w:val="none" w:color="FFFFFF" w:sz="0"/>
              <w:bottom w:val="none" w:color="FFFFFF" w:sz="0"/>
              <w:right w:val="none" w:color="FFFFFF" w:sz="0"/>
            </w:tcBorders>
            <w:shd w:fill="2D7D46" w:color="auto" w:val="clear"/>
            <w:tcMar>
              <w:top w:type="dxa" w:w="80"/>
              <w:left w:type="dxa" w:w="120"/>
              <w:bottom w:type="dxa" w:w="80"/>
              <w:right w:type="dxa" w:w="120"/>
            </w:tcMar>
            <w:vAlign w:val="top"/>
          </w:tcPr>
          <w:p>
            <w:pPr>
              <w:spacing w:before="30" w:after="10"/>
              <w:jc w:val="center"/>
            </w:pPr>
            <w:r>
              <w:rPr>
                <w:rFonts w:ascii="Calibri" w:cs="Calibri" w:eastAsia="Calibri" w:hAnsi="Calibri"/>
                <w:b/>
                <w:bCs/>
                <w:i w:val="false"/>
                <w:iCs w:val="false"/>
                <w:color w:val="FFFFFF"/>
                <w:sz w:val="16"/>
                <w:szCs w:val="16"/>
              </w:rPr>
              <w:t xml:space="preserve">GAINS</w:t>
            </w:r>
          </w:p>
          <w:p>
            <w:pPr>
              <w:spacing w:before="0" w:after="30"/>
              <w:jc w:val="center"/>
            </w:pPr>
            <w:r>
              <w:rPr>
                <w:rFonts w:ascii="Calibri" w:cs="Calibri" w:eastAsia="Calibri" w:hAnsi="Calibri"/>
                <w:b w:val="false"/>
                <w:bCs w:val="false"/>
                <w:i w:val="false"/>
                <w:iCs w:val="false"/>
                <w:color w:val="FFFFFF"/>
                <w:sz w:val="18"/>
                <w:szCs w:val="18"/>
              </w:rPr>
              <w:t xml:space="preserve">150 000 euros/an</w:t>
            </w:r>
          </w:p>
        </w:tc>
      </w:tr>
    </w:tbl>
    <w:p>
      <w:pPr>
        <w:spacing w:before="60" w:after="5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0D1B2A" w:sz="14"/>
              <w:bottom w:val="none" w:sz="0" w:space="0" w:color="auto"/>
              <w:right w:val="none" w:sz="0" w:space="0" w:color="auto"/>
            </w:tcBorders>
            <w:shd w:fill="F0F4F8" w:color="auto" w:val="clear"/>
            <w:tcMar>
              <w:top w:type="dxa" w:w="80"/>
              <w:left w:type="dxa" w:w="120"/>
              <w:bottom w:type="dxa" w:w="80"/>
              <w:right w:type="dxa" w:w="120"/>
            </w:tcMar>
            <w:vAlign w:val="top"/>
          </w:tcPr>
          <w:p>
            <w:pPr>
              <w:pBdr>
                <w:top w:val="none" w:color="FFFFFF" w:sz="0"/>
                <w:left w:val="none" w:color="FFFFFF" w:sz="0"/>
                <w:bottom w:val="single" w:color="0D1B2A" w:sz="4"/>
                <w:right w:val="none" w:color="FFFFFF" w:sz="0"/>
              </w:pBdr>
              <w:spacing w:before="55" w:after="40"/>
              <w:jc w:val="left"/>
            </w:pPr>
            <w:r>
              <w:rPr>
                <w:rFonts w:ascii="Calibri" w:cs="Calibri" w:eastAsia="Calibri" w:hAnsi="Calibri"/>
                <w:b/>
                <w:bCs/>
                <w:i w:val="false"/>
                <w:iCs w:val="false"/>
                <w:color w:val="0D1B2A"/>
                <w:sz w:val="20"/>
                <w:szCs w:val="20"/>
              </w:rPr>
              <w:t xml:space="preserve">SYNOPSIS DE LA MISSION</w:t>
            </w:r>
          </w:p>
          <w:p>
            <w:pPr>
              <w:spacing w:before="30" w:after="55"/>
              <w:jc w:val="both"/>
            </w:pPr>
            <w:r>
              <w:rPr>
                <w:rFonts w:ascii="Calibri" w:cs="Calibri" w:eastAsia="Calibri" w:hAnsi="Calibri"/>
                <w:b w:val="false"/>
                <w:bCs w:val="false"/>
                <w:i w:val="false"/>
                <w:iCs w:val="false"/>
                <w:color w:val="4A5568"/>
                <w:sz w:val="19"/>
                <w:szCs w:val="19"/>
              </w:rPr>
              <w:t xml:space="preserve">PVC Extrusion Plus est une PME de 150 personnes specialisee dans l extrusion de profiles PVC pour le batiment. La Ligne d Extrusion N°3 presente des performances mediocres : taux de rebuts de 5% (vs 2% cible) et temps de changement de couleur de 45 minutes. Le consultant est mandate pour 4 mois avec un objectif de gain financier de 150 000 euros par an. Cette mission illustre l application rigoureuse des methodologies SMED et Six Sigma, et met en lumiere l importance du cadrage, de la gestion humaine et de la cloture formelle.</w:t>
            </w:r>
          </w:p>
        </w:tc>
      </w:tr>
    </w:tbl>
    <w:p>
      <w:pPr>
        <w:spacing w:before="40" w:after="3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color="FFFFFF" w:sz="0"/>
              <w:left w:val="none" w:color="FFFFFF" w:sz="0"/>
              <w:bottom w:val="none" w:color="FFFFFF" w:sz="0"/>
              <w:right w:val="none" w:color="FFFFFF" w:sz="0"/>
            </w:tcBorders>
            <w:shd w:fill="1B3A5C" w:color="auto" w:val="clear"/>
            <w:tcMar>
              <w:top w:type="dxa" w:w="55"/>
              <w:left w:type="dxa" w:w="140"/>
              <w:bottom w:type="dxa" w:w="55"/>
              <w:right w:type="dxa" w:w="100"/>
            </w:tcMar>
            <w:vAlign w:val="top"/>
          </w:tcPr>
          <w:p>
            <w:pPr>
              <w:spacing w:before="65" w:after="65"/>
              <w:jc w:val="left"/>
            </w:pPr>
            <w:r>
              <w:rPr>
                <w:rFonts w:ascii="Calibri" w:cs="Calibri" w:eastAsia="Calibri" w:hAnsi="Calibri"/>
                <w:b/>
                <w:bCs/>
                <w:i w:val="false"/>
                <w:iCs w:val="false"/>
                <w:color w:val="FFFFFF"/>
                <w:sz w:val="21"/>
                <w:szCs w:val="21"/>
              </w:rPr>
              <w:t xml:space="preserve">  ACTEURS DE LA MISSION</w:t>
            </w:r>
          </w:p>
        </w:tc>
      </w:tr>
    </w:tbl>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1981"/>
        <w:gridCol w:w="1981"/>
        <w:gridCol w:w="5944"/>
      </w:tblGrid>
      <w:tr>
        <w:trPr>
          <w:tblHeader/>
        </w:trPr>
        <w:tc>
          <w:tcPr>
            <w:tcW w:type="dxa" w:w="1981"/>
            <w:tcBorders>
              <w:top w:val="single" w:color="FFFFFF" w:sz="4"/>
              <w:left w:val="single" w:color="FFFFFF" w:sz="4"/>
              <w:bottom w:val="single" w:color="FFFFFF" w:sz="4"/>
              <w:right w:val="single" w:color="FFFFFF" w:sz="4"/>
            </w:tcBorders>
            <w:shd w:fill="1B3A5C"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ROLE</w:t>
            </w:r>
          </w:p>
        </w:tc>
        <w:tc>
          <w:tcPr>
            <w:tcW w:type="dxa" w:w="1981"/>
            <w:tcBorders>
              <w:top w:val="single" w:color="FFFFFF" w:sz="4"/>
              <w:left w:val="single" w:color="FFFFFF" w:sz="4"/>
              <w:bottom w:val="single" w:color="FFFFFF" w:sz="4"/>
              <w:right w:val="single" w:color="FFFFFF" w:sz="4"/>
            </w:tcBorders>
            <w:shd w:fill="1B3A5C"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NOM / FONCTION</w:t>
            </w:r>
          </w:p>
        </w:tc>
        <w:tc>
          <w:tcPr>
            <w:tcW w:type="dxa" w:w="5944"/>
            <w:tcBorders>
              <w:top w:val="single" w:color="FFFFFF" w:sz="4"/>
              <w:left w:val="single" w:color="FFFFFF" w:sz="4"/>
              <w:bottom w:val="single" w:color="FFFFFF" w:sz="4"/>
              <w:right w:val="single" w:color="FFFFFF" w:sz="4"/>
            </w:tcBorders>
            <w:shd w:fill="1B3A5C"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ROLE DANS LA MISSION</w:t>
            </w:r>
          </w:p>
        </w:tc>
      </w:tr>
      <w:tr>
        <w:trPr>
          <w:tblHeader w:val="false"/>
        </w:trPr>
        <w:tc>
          <w:tcPr>
            <w:tcW w:type="dxa" w:w="198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Consultant (Leader)</w:t>
            </w:r>
          </w:p>
        </w:tc>
        <w:tc>
          <w:tcPr>
            <w:tcW w:type="dxa" w:w="198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[Consultant Senior Cabinet]</w:t>
            </w:r>
          </w:p>
        </w:tc>
        <w:tc>
          <w:tcPr>
            <w:tcW w:type="dxa" w:w="5944"/>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Coach methodologique, facilitateur, garant de la methode et du ROI</w:t>
            </w:r>
          </w:p>
        </w:tc>
      </w:tr>
      <w:tr>
        <w:trPr>
          <w:tblHeader w:val="false"/>
        </w:trPr>
        <w:tc>
          <w:tcPr>
            <w:tcW w:type="dxa" w:w="198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Sponsor</w:t>
            </w:r>
          </w:p>
        </w:tc>
        <w:tc>
          <w:tcPr>
            <w:tcW w:type="dxa" w:w="198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Directeur Industriel</w:t>
            </w:r>
          </w:p>
        </w:tc>
        <w:tc>
          <w:tcPr>
            <w:tcW w:type="dxa" w:w="5944"/>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Commanditaire du projet, arbitre les decisions strategiques, signe le PV de gains</w:t>
            </w:r>
          </w:p>
        </w:tc>
      </w:tr>
      <w:tr>
        <w:trPr>
          <w:tblHeader w:val="false"/>
        </w:trPr>
        <w:tc>
          <w:tcPr>
            <w:tcW w:type="dxa" w:w="198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Process Owner</w:t>
            </w:r>
          </w:p>
        </w:tc>
        <w:tc>
          <w:tcPr>
            <w:tcW w:type="dxa" w:w="198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Chef de Ligne</w:t>
            </w:r>
          </w:p>
        </w:tc>
        <w:tc>
          <w:tcPr>
            <w:tcW w:type="dxa" w:w="5944"/>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Responsable operationnel de la ligne L3, referent terrain quotidien</w:t>
            </w:r>
          </w:p>
        </w:tc>
      </w:tr>
      <w:tr>
        <w:trPr>
          <w:tblHeader w:val="false"/>
        </w:trPr>
        <w:tc>
          <w:tcPr>
            <w:tcW w:type="dxa" w:w="198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Champion</w:t>
            </w:r>
          </w:p>
        </w:tc>
        <w:tc>
          <w:tcPr>
            <w:tcW w:type="dxa" w:w="198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Regleur Senior</w:t>
            </w:r>
          </w:p>
        </w:tc>
        <w:tc>
          <w:tcPr>
            <w:tcW w:type="dxa" w:w="5944"/>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Expert metier des changements de serie, forme aux nouvelles methodes</w:t>
            </w:r>
          </w:p>
        </w:tc>
      </w:tr>
      <w:tr>
        <w:trPr>
          <w:tblHeader w:val="false"/>
        </w:trPr>
        <w:tc>
          <w:tcPr>
            <w:tcW w:type="dxa" w:w="198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CDG</w:t>
            </w:r>
          </w:p>
        </w:tc>
        <w:tc>
          <w:tcPr>
            <w:tcW w:type="dxa" w:w="198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Controleur de Gestion</w:t>
            </w:r>
          </w:p>
        </w:tc>
        <w:tc>
          <w:tcPr>
            <w:tcW w:type="dxa" w:w="5944"/>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Valide et certifie les gains financiers en fin de mission</w:t>
            </w:r>
          </w:p>
        </w:tc>
      </w:tr>
    </w:tbl>
    <w:p>
      <w:pPr>
        <w:spacing w:before="60" w:after="5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color="FFFFFF" w:sz="0"/>
              <w:left w:val="none" w:color="FFFFFF" w:sz="0"/>
              <w:bottom w:val="none" w:color="FFFFFF" w:sz="0"/>
              <w:right w:val="none" w:color="FFFFFF" w:sz="0"/>
            </w:tcBorders>
            <w:shd w:fill="C53030" w:color="auto" w:val="clear"/>
            <w:tcMar>
              <w:top w:type="dxa" w:w="55"/>
              <w:left w:type="dxa" w:w="140"/>
              <w:bottom w:type="dxa" w:w="55"/>
              <w:right w:type="dxa" w:w="100"/>
            </w:tcMar>
            <w:vAlign w:val="top"/>
          </w:tcPr>
          <w:p>
            <w:pPr>
              <w:spacing w:before="65" w:after="65"/>
              <w:jc w:val="left"/>
            </w:pPr>
            <w:r>
              <w:rPr>
                <w:rFonts w:ascii="Calibri" w:cs="Calibri" w:eastAsia="Calibri" w:hAnsi="Calibri"/>
                <w:b/>
                <w:bCs/>
                <w:i w:val="false"/>
                <w:iCs w:val="false"/>
                <w:color w:val="FFFFFF"/>
                <w:sz w:val="21"/>
                <w:szCs w:val="21"/>
              </w:rPr>
              <w:t xml:space="preserve">  SITUATION INITIALE ET DIAGNOSTIC FLASH</w:t>
            </w:r>
          </w:p>
        </w:tc>
      </w:tr>
    </w:tbl>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476"/>
        <w:gridCol w:w="2476"/>
        <w:gridCol w:w="2476"/>
        <w:gridCol w:w="2478"/>
      </w:tblGrid>
      <w:tr>
        <w:trPr>
          <w:tblHeader/>
        </w:trPr>
        <w:tc>
          <w:tcPr>
            <w:tcW w:type="dxa" w:w="2476"/>
            <w:tcBorders>
              <w:top w:val="single" w:color="FFFFFF" w:sz="4"/>
              <w:left w:val="single" w:color="FFFFFF" w:sz="4"/>
              <w:bottom w:val="single" w:color="FFFFFF" w:sz="4"/>
              <w:right w:val="single" w:color="FFFFFF" w:sz="4"/>
            </w:tcBorders>
            <w:shd w:fill="C53030"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INDICATEUR</w:t>
            </w:r>
          </w:p>
        </w:tc>
        <w:tc>
          <w:tcPr>
            <w:tcW w:type="dxa" w:w="2476"/>
            <w:tcBorders>
              <w:top w:val="single" w:color="FFFFFF" w:sz="4"/>
              <w:left w:val="single" w:color="FFFFFF" w:sz="4"/>
              <w:bottom w:val="single" w:color="FFFFFF" w:sz="4"/>
              <w:right w:val="single" w:color="FFFFFF" w:sz="4"/>
            </w:tcBorders>
            <w:shd w:fill="C53030"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VALEUR INITIALE</w:t>
            </w:r>
          </w:p>
        </w:tc>
        <w:tc>
          <w:tcPr>
            <w:tcW w:type="dxa" w:w="2476"/>
            <w:tcBorders>
              <w:top w:val="single" w:color="FFFFFF" w:sz="4"/>
              <w:left w:val="single" w:color="FFFFFF" w:sz="4"/>
              <w:bottom w:val="single" w:color="FFFFFF" w:sz="4"/>
              <w:right w:val="single" w:color="FFFFFF" w:sz="4"/>
            </w:tcBorders>
            <w:shd w:fill="C53030"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OBJECTIF CIBLE</w:t>
            </w:r>
          </w:p>
        </w:tc>
        <w:tc>
          <w:tcPr>
            <w:tcW w:type="dxa" w:w="2478"/>
            <w:tcBorders>
              <w:top w:val="single" w:color="FFFFFF" w:sz="4"/>
              <w:left w:val="single" w:color="FFFFFF" w:sz="4"/>
              <w:bottom w:val="single" w:color="FFFFFF" w:sz="4"/>
              <w:right w:val="single" w:color="FFFFFF" w:sz="4"/>
            </w:tcBorders>
            <w:shd w:fill="C53030"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ECART A COMBLER</w:t>
            </w:r>
          </w:p>
        </w:tc>
      </w:tr>
      <w:tr>
        <w:trPr>
          <w:tblHeader w:val="false"/>
        </w:trPr>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35" w:after="35"/>
              <w:jc w:val="left"/>
            </w:pPr>
            <w:r>
              <w:rPr>
                <w:rFonts w:ascii="Calibri" w:cs="Calibri" w:eastAsia="Calibri" w:hAnsi="Calibri"/>
                <w:b/>
                <w:bCs/>
                <w:i w:val="false"/>
                <w:iCs w:val="false"/>
                <w:color w:val="0D1B2A"/>
                <w:sz w:val="18"/>
                <w:szCs w:val="18"/>
              </w:rPr>
              <w:t xml:space="preserve">Taux de rebuts (%)</w:t>
            </w:r>
          </w:p>
        </w:tc>
        <w:tc>
          <w:tcPr>
            <w:tcW w:type="dxa" w:w="2476"/>
            <w:tcBorders>
              <w:top w:val="single" w:color="D1D9E6" w:sz="4"/>
              <w:left w:val="single" w:color="D1D9E6" w:sz="4"/>
              <w:bottom w:val="single" w:color="D1D9E6" w:sz="4"/>
              <w:right w:val="single" w:color="D1D9E6" w:sz="4"/>
            </w:tcBorders>
            <w:shd w:fill="FDEDEC" w:color="auto" w:val="clear"/>
            <w:tcMar>
              <w:top w:type="dxa" w:w="80"/>
              <w:left w:type="dxa" w:w="120"/>
              <w:bottom w:type="dxa" w:w="80"/>
              <w:right w:type="dxa" w:w="120"/>
            </w:tcMar>
            <w:vAlign w:val="top"/>
          </w:tcPr>
          <w:p>
            <w:pPr>
              <w:spacing w:before="35" w:after="35"/>
              <w:jc w:val="center"/>
            </w:pPr>
            <w:r>
              <w:rPr>
                <w:rFonts w:ascii="Calibri" w:cs="Calibri" w:eastAsia="Calibri" w:hAnsi="Calibri"/>
                <w:b w:val="false"/>
                <w:bCs w:val="false"/>
                <w:i w:val="false"/>
                <w:iCs w:val="false"/>
                <w:color w:val="C53030"/>
                <w:sz w:val="18"/>
                <w:szCs w:val="18"/>
              </w:rPr>
              <w:t xml:space="preserve">5%</w:t>
            </w:r>
          </w:p>
        </w:tc>
        <w:tc>
          <w:tcPr>
            <w:tcW w:type="dxa" w:w="2476"/>
            <w:tcBorders>
              <w:top w:val="single" w:color="D1D9E6" w:sz="4"/>
              <w:left w:val="single" w:color="D1D9E6" w:sz="4"/>
              <w:bottom w:val="single" w:color="D1D9E6" w:sz="4"/>
              <w:right w:val="single" w:color="D1D9E6" w:sz="4"/>
            </w:tcBorders>
            <w:shd w:fill="EBF5EB" w:color="auto" w:val="clear"/>
            <w:tcMar>
              <w:top w:type="dxa" w:w="80"/>
              <w:left w:type="dxa" w:w="120"/>
              <w:bottom w:type="dxa" w:w="80"/>
              <w:right w:type="dxa" w:w="120"/>
            </w:tcMar>
            <w:vAlign w:val="top"/>
          </w:tcPr>
          <w:p>
            <w:pPr>
              <w:spacing w:before="35" w:after="35"/>
              <w:jc w:val="center"/>
            </w:pPr>
            <w:r>
              <w:rPr>
                <w:rFonts w:ascii="Calibri" w:cs="Calibri" w:eastAsia="Calibri" w:hAnsi="Calibri"/>
                <w:b w:val="false"/>
                <w:bCs w:val="false"/>
                <w:i w:val="false"/>
                <w:iCs w:val="false"/>
                <w:color w:val="2D7D46"/>
                <w:sz w:val="18"/>
                <w:szCs w:val="18"/>
              </w:rPr>
              <w:t xml:space="preserve">2%</w:t>
            </w:r>
          </w:p>
        </w:tc>
        <w:tc>
          <w:tcPr>
            <w:tcW w:type="dxa" w:w="2478"/>
            <w:tcBorders>
              <w:top w:val="single" w:color="D1D9E6" w:sz="4"/>
              <w:left w:val="single" w:color="D1D9E6" w:sz="4"/>
              <w:bottom w:val="single" w:color="D1D9E6" w:sz="4"/>
              <w:right w:val="single" w:color="D1D9E6" w:sz="4"/>
            </w:tcBorders>
            <w:shd w:fill="FFF8EB" w:color="auto" w:val="clear"/>
            <w:tcMar>
              <w:top w:type="dxa" w:w="80"/>
              <w:left w:type="dxa" w:w="120"/>
              <w:bottom w:type="dxa" w:w="80"/>
              <w:right w:type="dxa" w:w="120"/>
            </w:tcMar>
            <w:vAlign w:val="top"/>
          </w:tcPr>
          <w:p>
            <w:pPr>
              <w:spacing w:before="35" w:after="35"/>
              <w:jc w:val="center"/>
            </w:pPr>
            <w:r>
              <w:rPr>
                <w:rFonts w:ascii="Calibri" w:cs="Calibri" w:eastAsia="Calibri" w:hAnsi="Calibri"/>
                <w:b/>
                <w:bCs/>
                <w:i w:val="false"/>
                <w:iCs w:val="false"/>
                <w:color w:val="C8963E"/>
                <w:sz w:val="18"/>
                <w:szCs w:val="18"/>
              </w:rPr>
              <w:t xml:space="preserve">-3 pts</w:t>
            </w:r>
          </w:p>
        </w:tc>
      </w:tr>
      <w:tr>
        <w:trPr>
          <w:tblHeader w:val="false"/>
        </w:trPr>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35" w:after="35"/>
              <w:jc w:val="left"/>
            </w:pPr>
            <w:r>
              <w:rPr>
                <w:rFonts w:ascii="Calibri" w:cs="Calibri" w:eastAsia="Calibri" w:hAnsi="Calibri"/>
                <w:b/>
                <w:bCs/>
                <w:i w:val="false"/>
                <w:iCs w:val="false"/>
                <w:color w:val="0D1B2A"/>
                <w:sz w:val="18"/>
                <w:szCs w:val="18"/>
              </w:rPr>
              <w:t xml:space="preserve">Temps changement serie</w:t>
            </w:r>
          </w:p>
        </w:tc>
        <w:tc>
          <w:tcPr>
            <w:tcW w:type="dxa" w:w="2476"/>
            <w:tcBorders>
              <w:top w:val="single" w:color="D1D9E6" w:sz="4"/>
              <w:left w:val="single" w:color="D1D9E6" w:sz="4"/>
              <w:bottom w:val="single" w:color="D1D9E6" w:sz="4"/>
              <w:right w:val="single" w:color="D1D9E6" w:sz="4"/>
            </w:tcBorders>
            <w:shd w:fill="FDEDEC" w:color="auto" w:val="clear"/>
            <w:tcMar>
              <w:top w:type="dxa" w:w="80"/>
              <w:left w:type="dxa" w:w="120"/>
              <w:bottom w:type="dxa" w:w="80"/>
              <w:right w:type="dxa" w:w="120"/>
            </w:tcMar>
            <w:vAlign w:val="top"/>
          </w:tcPr>
          <w:p>
            <w:pPr>
              <w:spacing w:before="35" w:after="35"/>
              <w:jc w:val="center"/>
            </w:pPr>
            <w:r>
              <w:rPr>
                <w:rFonts w:ascii="Calibri" w:cs="Calibri" w:eastAsia="Calibri" w:hAnsi="Calibri"/>
                <w:b w:val="false"/>
                <w:bCs w:val="false"/>
                <w:i w:val="false"/>
                <w:iCs w:val="false"/>
                <w:color w:val="C53030"/>
                <w:sz w:val="18"/>
                <w:szCs w:val="18"/>
              </w:rPr>
              <w:t xml:space="preserve">45 min</w:t>
            </w:r>
          </w:p>
        </w:tc>
        <w:tc>
          <w:tcPr>
            <w:tcW w:type="dxa" w:w="2476"/>
            <w:tcBorders>
              <w:top w:val="single" w:color="D1D9E6" w:sz="4"/>
              <w:left w:val="single" w:color="D1D9E6" w:sz="4"/>
              <w:bottom w:val="single" w:color="D1D9E6" w:sz="4"/>
              <w:right w:val="single" w:color="D1D9E6" w:sz="4"/>
            </w:tcBorders>
            <w:shd w:fill="EBF5EB" w:color="auto" w:val="clear"/>
            <w:tcMar>
              <w:top w:type="dxa" w:w="80"/>
              <w:left w:type="dxa" w:w="120"/>
              <w:bottom w:type="dxa" w:w="80"/>
              <w:right w:type="dxa" w:w="120"/>
            </w:tcMar>
            <w:vAlign w:val="top"/>
          </w:tcPr>
          <w:p>
            <w:pPr>
              <w:spacing w:before="35" w:after="35"/>
              <w:jc w:val="center"/>
            </w:pPr>
            <w:r>
              <w:rPr>
                <w:rFonts w:ascii="Calibri" w:cs="Calibri" w:eastAsia="Calibri" w:hAnsi="Calibri"/>
                <w:b w:val="false"/>
                <w:bCs w:val="false"/>
                <w:i w:val="false"/>
                <w:iCs w:val="false"/>
                <w:color w:val="2D7D46"/>
                <w:sz w:val="18"/>
                <w:szCs w:val="18"/>
              </w:rPr>
              <w:t xml:space="preserve">20 min</w:t>
            </w:r>
          </w:p>
        </w:tc>
        <w:tc>
          <w:tcPr>
            <w:tcW w:type="dxa" w:w="2478"/>
            <w:tcBorders>
              <w:top w:val="single" w:color="D1D9E6" w:sz="4"/>
              <w:left w:val="single" w:color="D1D9E6" w:sz="4"/>
              <w:bottom w:val="single" w:color="D1D9E6" w:sz="4"/>
              <w:right w:val="single" w:color="D1D9E6" w:sz="4"/>
            </w:tcBorders>
            <w:shd w:fill="FFF8EB" w:color="auto" w:val="clear"/>
            <w:tcMar>
              <w:top w:type="dxa" w:w="80"/>
              <w:left w:type="dxa" w:w="120"/>
              <w:bottom w:type="dxa" w:w="80"/>
              <w:right w:type="dxa" w:w="120"/>
            </w:tcMar>
            <w:vAlign w:val="top"/>
          </w:tcPr>
          <w:p>
            <w:pPr>
              <w:spacing w:before="35" w:after="35"/>
              <w:jc w:val="center"/>
            </w:pPr>
            <w:r>
              <w:rPr>
                <w:rFonts w:ascii="Calibri" w:cs="Calibri" w:eastAsia="Calibri" w:hAnsi="Calibri"/>
                <w:b/>
                <w:bCs/>
                <w:i w:val="false"/>
                <w:iCs w:val="false"/>
                <w:color w:val="C8963E"/>
                <w:sz w:val="18"/>
                <w:szCs w:val="18"/>
              </w:rPr>
              <w:t xml:space="preserve">-25 min</w:t>
            </w:r>
          </w:p>
        </w:tc>
      </w:tr>
      <w:tr>
        <w:trPr>
          <w:tblHeader w:val="false"/>
        </w:trPr>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35" w:after="35"/>
              <w:jc w:val="left"/>
            </w:pPr>
            <w:r>
              <w:rPr>
                <w:rFonts w:ascii="Calibri" w:cs="Calibri" w:eastAsia="Calibri" w:hAnsi="Calibri"/>
                <w:b/>
                <w:bCs/>
                <w:i w:val="false"/>
                <w:iCs w:val="false"/>
                <w:color w:val="0D1B2A"/>
                <w:sz w:val="18"/>
                <w:szCs w:val="18"/>
              </w:rPr>
              <w:t xml:space="preserve">Gain financier annuel</w:t>
            </w:r>
          </w:p>
        </w:tc>
        <w:tc>
          <w:tcPr>
            <w:tcW w:type="dxa" w:w="2476"/>
            <w:tcBorders>
              <w:top w:val="single" w:color="D1D9E6" w:sz="4"/>
              <w:left w:val="single" w:color="D1D9E6" w:sz="4"/>
              <w:bottom w:val="single" w:color="D1D9E6" w:sz="4"/>
              <w:right w:val="single" w:color="D1D9E6" w:sz="4"/>
            </w:tcBorders>
            <w:shd w:fill="FDEDEC" w:color="auto" w:val="clear"/>
            <w:tcMar>
              <w:top w:type="dxa" w:w="80"/>
              <w:left w:type="dxa" w:w="120"/>
              <w:bottom w:type="dxa" w:w="80"/>
              <w:right w:type="dxa" w:w="120"/>
            </w:tcMar>
            <w:vAlign w:val="top"/>
          </w:tcPr>
          <w:p>
            <w:pPr>
              <w:spacing w:before="35" w:after="35"/>
              <w:jc w:val="center"/>
            </w:pPr>
            <w:r>
              <w:rPr>
                <w:rFonts w:ascii="Calibri" w:cs="Calibri" w:eastAsia="Calibri" w:hAnsi="Calibri"/>
                <w:b w:val="false"/>
                <w:bCs w:val="false"/>
                <w:i w:val="false"/>
                <w:iCs w:val="false"/>
                <w:color w:val="C53030"/>
                <w:sz w:val="18"/>
                <w:szCs w:val="18"/>
              </w:rPr>
              <w:t xml:space="preserve">0 euros</w:t>
            </w:r>
          </w:p>
        </w:tc>
        <w:tc>
          <w:tcPr>
            <w:tcW w:type="dxa" w:w="2476"/>
            <w:tcBorders>
              <w:top w:val="single" w:color="D1D9E6" w:sz="4"/>
              <w:left w:val="single" w:color="D1D9E6" w:sz="4"/>
              <w:bottom w:val="single" w:color="D1D9E6" w:sz="4"/>
              <w:right w:val="single" w:color="D1D9E6" w:sz="4"/>
            </w:tcBorders>
            <w:shd w:fill="EBF5EB" w:color="auto" w:val="clear"/>
            <w:tcMar>
              <w:top w:type="dxa" w:w="80"/>
              <w:left w:type="dxa" w:w="120"/>
              <w:bottom w:type="dxa" w:w="80"/>
              <w:right w:type="dxa" w:w="120"/>
            </w:tcMar>
            <w:vAlign w:val="top"/>
          </w:tcPr>
          <w:p>
            <w:pPr>
              <w:spacing w:before="35" w:after="35"/>
              <w:jc w:val="center"/>
            </w:pPr>
            <w:r>
              <w:rPr>
                <w:rFonts w:ascii="Calibri" w:cs="Calibri" w:eastAsia="Calibri" w:hAnsi="Calibri"/>
                <w:b w:val="false"/>
                <w:bCs w:val="false"/>
                <w:i w:val="false"/>
                <w:iCs w:val="false"/>
                <w:color w:val="2D7D46"/>
                <w:sz w:val="18"/>
                <w:szCs w:val="18"/>
              </w:rPr>
              <w:t xml:space="preserve">150 000 euros</w:t>
            </w:r>
          </w:p>
        </w:tc>
        <w:tc>
          <w:tcPr>
            <w:tcW w:type="dxa" w:w="2478"/>
            <w:tcBorders>
              <w:top w:val="single" w:color="D1D9E6" w:sz="4"/>
              <w:left w:val="single" w:color="D1D9E6" w:sz="4"/>
              <w:bottom w:val="single" w:color="D1D9E6" w:sz="4"/>
              <w:right w:val="single" w:color="D1D9E6" w:sz="4"/>
            </w:tcBorders>
            <w:shd w:fill="FFF8EB" w:color="auto" w:val="clear"/>
            <w:tcMar>
              <w:top w:type="dxa" w:w="80"/>
              <w:left w:type="dxa" w:w="120"/>
              <w:bottom w:type="dxa" w:w="80"/>
              <w:right w:type="dxa" w:w="120"/>
            </w:tcMar>
            <w:vAlign w:val="top"/>
          </w:tcPr>
          <w:p>
            <w:pPr>
              <w:spacing w:before="35" w:after="35"/>
              <w:jc w:val="center"/>
            </w:pPr>
            <w:r>
              <w:rPr>
                <w:rFonts w:ascii="Calibri" w:cs="Calibri" w:eastAsia="Calibri" w:hAnsi="Calibri"/>
                <w:b/>
                <w:bCs/>
                <w:i w:val="false"/>
                <w:iCs w:val="false"/>
                <w:color w:val="C8963E"/>
                <w:sz w:val="18"/>
                <w:szCs w:val="18"/>
              </w:rPr>
              <w:t xml:space="preserve">+150 000 euros</w:t>
            </w:r>
          </w:p>
        </w:tc>
      </w:tr>
      <w:tr>
        <w:trPr>
          <w:tblHeader w:val="false"/>
        </w:trPr>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35" w:after="35"/>
              <w:jc w:val="left"/>
            </w:pPr>
            <w:r>
              <w:rPr>
                <w:rFonts w:ascii="Calibri" w:cs="Calibri" w:eastAsia="Calibri" w:hAnsi="Calibri"/>
                <w:b/>
                <w:bCs/>
                <w:i w:val="false"/>
                <w:iCs w:val="false"/>
                <w:color w:val="0D1B2A"/>
                <w:sz w:val="18"/>
                <w:szCs w:val="18"/>
              </w:rPr>
              <w:t xml:space="preserve">Cout de la mission</w:t>
            </w:r>
          </w:p>
        </w:tc>
        <w:tc>
          <w:tcPr>
            <w:tcW w:type="dxa" w:w="2476"/>
            <w:tcBorders>
              <w:top w:val="single" w:color="D1D9E6" w:sz="4"/>
              <w:left w:val="single" w:color="D1D9E6" w:sz="4"/>
              <w:bottom w:val="single" w:color="D1D9E6" w:sz="4"/>
              <w:right w:val="single" w:color="D1D9E6" w:sz="4"/>
            </w:tcBorders>
            <w:shd w:fill="FDEDEC" w:color="auto" w:val="clear"/>
            <w:tcMar>
              <w:top w:type="dxa" w:w="80"/>
              <w:left w:type="dxa" w:w="120"/>
              <w:bottom w:type="dxa" w:w="80"/>
              <w:right w:type="dxa" w:w="120"/>
            </w:tcMar>
            <w:vAlign w:val="top"/>
          </w:tcPr>
          <w:p>
            <w:pPr>
              <w:spacing w:before="35" w:after="35"/>
              <w:jc w:val="center"/>
            </w:pPr>
            <w:r>
              <w:rPr>
                <w:rFonts w:ascii="Calibri" w:cs="Calibri" w:eastAsia="Calibri" w:hAnsi="Calibri"/>
                <w:b w:val="false"/>
                <w:bCs w:val="false"/>
                <w:i w:val="false"/>
                <w:iCs w:val="false"/>
                <w:color w:val="C53030"/>
                <w:sz w:val="18"/>
                <w:szCs w:val="18"/>
              </w:rPr>
              <w:t xml:space="preserve">---</w:t>
            </w:r>
          </w:p>
        </w:tc>
        <w:tc>
          <w:tcPr>
            <w:tcW w:type="dxa" w:w="2476"/>
            <w:tcBorders>
              <w:top w:val="single" w:color="D1D9E6" w:sz="4"/>
              <w:left w:val="single" w:color="D1D9E6" w:sz="4"/>
              <w:bottom w:val="single" w:color="D1D9E6" w:sz="4"/>
              <w:right w:val="single" w:color="D1D9E6" w:sz="4"/>
            </w:tcBorders>
            <w:shd w:fill="EBF5EB" w:color="auto" w:val="clear"/>
            <w:tcMar>
              <w:top w:type="dxa" w:w="80"/>
              <w:left w:type="dxa" w:w="120"/>
              <w:bottom w:type="dxa" w:w="80"/>
              <w:right w:type="dxa" w:w="120"/>
            </w:tcMar>
            <w:vAlign w:val="top"/>
          </w:tcPr>
          <w:p>
            <w:pPr>
              <w:spacing w:before="35" w:after="35"/>
              <w:jc w:val="center"/>
            </w:pPr>
            <w:r>
              <w:rPr>
                <w:rFonts w:ascii="Calibri" w:cs="Calibri" w:eastAsia="Calibri" w:hAnsi="Calibri"/>
                <w:b w:val="false"/>
                <w:bCs w:val="false"/>
                <w:i w:val="false"/>
                <w:iCs w:val="false"/>
                <w:color w:val="2D7D46"/>
                <w:sz w:val="18"/>
                <w:szCs w:val="18"/>
              </w:rPr>
              <w:t xml:space="preserve">50 000 euros</w:t>
            </w:r>
          </w:p>
        </w:tc>
        <w:tc>
          <w:tcPr>
            <w:tcW w:type="dxa" w:w="2478"/>
            <w:tcBorders>
              <w:top w:val="single" w:color="D1D9E6" w:sz="4"/>
              <w:left w:val="single" w:color="D1D9E6" w:sz="4"/>
              <w:bottom w:val="single" w:color="D1D9E6" w:sz="4"/>
              <w:right w:val="single" w:color="D1D9E6" w:sz="4"/>
            </w:tcBorders>
            <w:shd w:fill="FFF8EB" w:color="auto" w:val="clear"/>
            <w:tcMar>
              <w:top w:type="dxa" w:w="80"/>
              <w:left w:type="dxa" w:w="120"/>
              <w:bottom w:type="dxa" w:w="80"/>
              <w:right w:type="dxa" w:w="120"/>
            </w:tcMar>
            <w:vAlign w:val="top"/>
          </w:tcPr>
          <w:p>
            <w:pPr>
              <w:spacing w:before="35" w:after="35"/>
              <w:jc w:val="center"/>
            </w:pPr>
            <w:r>
              <w:rPr>
                <w:rFonts w:ascii="Calibri" w:cs="Calibri" w:eastAsia="Calibri" w:hAnsi="Calibri"/>
                <w:b/>
                <w:bCs/>
                <w:i w:val="false"/>
                <w:iCs w:val="false"/>
                <w:color w:val="C8963E"/>
                <w:sz w:val="18"/>
                <w:szCs w:val="18"/>
              </w:rPr>
              <w:t xml:space="preserve">ROI cible : 200%</w:t>
            </w:r>
          </w:p>
        </w:tc>
      </w:tr>
    </w:tbl>
    <w:p>
      <w:pPr>
        <w:spacing w:before="60" w:after="50"/>
      </w:pPr>
    </w:p>
    <w:p>
      <w:pPr>
        <w:spacing w:before="0" w:after="0"/>
      </w:pPr>
      <w:r>
        <w:br w:type="page"/>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594"/>
        <w:gridCol w:w="9312"/>
      </w:tblGrid>
      <w:tr>
        <w:trPr>
          <w:tblHeader w:val="false"/>
        </w:trPr>
        <w:tc>
          <w:tcPr>
            <w:tcW w:type="dxa" w:w="594"/>
            <w:tcBorders>
              <w:top w:val="none" w:color="FFFFFF" w:sz="0"/>
              <w:left w:val="none" w:color="FFFFFF" w:sz="0"/>
              <w:bottom w:val="none" w:color="FFFFFF" w:sz="0"/>
              <w:right w:val="none" w:color="FFFFFF" w:sz="0"/>
            </w:tcBorders>
            <w:shd w:fill="0D1B2A" w:color="auto" w:val="clear"/>
            <w:tcMar>
              <w:top w:type="dxa" w:w="50"/>
              <w:left w:type="dxa" w:w="40"/>
              <w:bottom w:type="dxa" w:w="50"/>
              <w:right w:type="dxa" w:w="40"/>
            </w:tcMar>
            <w:vAlign w:val="top"/>
          </w:tcPr>
          <w:p>
            <w:pPr>
              <w:spacing w:before="60" w:after="60"/>
              <w:jc w:val="center"/>
            </w:pPr>
            <w:r>
              <w:rPr>
                <w:rFonts w:ascii="Calibri" w:cs="Calibri" w:eastAsia="Calibri" w:hAnsi="Calibri"/>
                <w:b/>
                <w:bCs/>
                <w:i w:val="false"/>
                <w:iCs w:val="false"/>
                <w:color w:val="FFFFFF"/>
                <w:sz w:val="22"/>
                <w:szCs w:val="22"/>
              </w:rPr>
              <w:t xml:space="preserve">PHASE 1</w:t>
            </w:r>
          </w:p>
        </w:tc>
        <w:tc>
          <w:tcPr>
            <w:tcW w:type="dxa" w:w="9312"/>
            <w:tcBorders>
              <w:top w:val="none" w:sz="0" w:space="0" w:color="auto"/>
              <w:left w:val="single" w:color="0D1B2A" w:sz="10"/>
              <w:bottom w:val="none" w:sz="0" w:space="0" w:color="auto"/>
              <w:right w:val="none" w:sz="0" w:space="0" w:color="auto"/>
            </w:tcBorders>
            <w:shd w:fill="F4F6F9" w:color="auto" w:val="clear"/>
            <w:tcMar>
              <w:top w:type="dxa" w:w="50"/>
              <w:left w:type="dxa" w:w="140"/>
              <w:bottom w:type="dxa" w:w="50"/>
              <w:right w:type="dxa" w:w="80"/>
            </w:tcMar>
            <w:vAlign w:val="top"/>
          </w:tcPr>
          <w:p>
            <w:pPr>
              <w:spacing w:before="60" w:after="60"/>
              <w:jc w:val="left"/>
            </w:pPr>
            <w:r>
              <w:rPr>
                <w:rFonts w:ascii="Calibri" w:cs="Calibri" w:eastAsia="Calibri" w:hAnsi="Calibri"/>
                <w:b/>
                <w:bCs/>
                <w:i w:val="false"/>
                <w:iCs w:val="false"/>
                <w:color w:val="0D1B2A"/>
                <w:sz w:val="22"/>
                <w:szCs w:val="22"/>
              </w:rPr>
              <w:t xml:space="preserve">CADRAGE ET INITIALISATION  (Chapitres 1 a 3)</w:t>
            </w:r>
          </w:p>
        </w:tc>
      </w:tr>
    </w:tbl>
    <w:p>
      <w:pPr>
        <w:spacing w:before="30" w:after="24"/>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0D1B2A"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1</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Prise de contact et diagnostic flash  (Chapitre 1)</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Le Directeur Industriel contacte le consultant en se plaignant que la ligne ne suit pas la cadence. Reflexe classique : accepter la demande au pied de la lettre et proposer d accelerer la production. Le consultant refuse cette facilite. Il applique le Questionnaire de Cadrage Client (Outil 1.1) lors du premier entretien.</w:t>
      </w:r>
    </w:p>
    <w:p>
      <w:pPr>
        <w:spacing w:before="10" w:after="8"/>
      </w:pPr>
    </w:p>
    <w:p>
      <w:pPr>
        <w:spacing w:before="70" w:after="70"/>
        <w:jc w:val="both"/>
      </w:pPr>
      <w:r>
        <w:rPr>
          <w:rFonts w:ascii="Calibri" w:cs="Calibri" w:eastAsia="Calibri" w:hAnsi="Calibri"/>
          <w:b w:val="false"/>
          <w:bCs w:val="false"/>
          <w:i w:val="false"/>
          <w:iCs w:val="false"/>
          <w:color w:val="4A5568"/>
          <w:sz w:val="21"/>
          <w:szCs w:val="21"/>
        </w:rPr>
        <w:t xml:space="preserve">La distinction entre besoin explicite et besoin reel est ici determinante. La direction parle de cadence ; le terrain revele autre chose.</w:t>
      </w:r>
    </w:p>
    <w:p>
      <w:pPr>
        <w:spacing w:before="10" w:after="8"/>
      </w:pPr>
    </w:p>
    <w:p>
      <w:pPr>
        <w:spacing w:before="40" w:after="40"/>
        <w:ind w:left="200"/>
        <w:jc w:val="left"/>
      </w:pPr>
      <w:r>
        <w:rPr>
          <w:rFonts w:ascii="Calibri" w:cs="Calibri" w:eastAsia="Calibri" w:hAnsi="Calibri"/>
          <w:b w:val="false"/>
          <w:bCs w:val="false"/>
          <w:i w:val="false"/>
          <w:iCs w:val="false"/>
          <w:color w:val="4A5568"/>
          <w:sz w:val="20"/>
          <w:szCs w:val="20"/>
        </w:rPr>
        <w:t xml:space="preserve">•  Taux de rebuts au demarrage : 5% contre 2% cible (soit 2,5x la norme interne)</w:t>
      </w:r>
    </w:p>
    <w:p>
      <w:pPr>
        <w:spacing w:before="40" w:after="40"/>
        <w:ind w:left="200"/>
        <w:jc w:val="left"/>
      </w:pPr>
      <w:r>
        <w:rPr>
          <w:rFonts w:ascii="Calibri" w:cs="Calibri" w:eastAsia="Calibri" w:hAnsi="Calibri"/>
          <w:b w:val="false"/>
          <w:bCs w:val="false"/>
          <w:i w:val="false"/>
          <w:iCs w:val="false"/>
          <w:color w:val="4A5568"/>
          <w:sz w:val="20"/>
          <w:szCs w:val="20"/>
        </w:rPr>
        <w:t xml:space="preserve">•  Temps de changement de couleur : 45 minutes (benchmark sectoriel : 15 a 20 minutes)</w:t>
      </w:r>
    </w:p>
    <w:p>
      <w:pPr>
        <w:spacing w:before="40" w:after="40"/>
        <w:ind w:left="200"/>
        <w:jc w:val="left"/>
      </w:pPr>
      <w:r>
        <w:rPr>
          <w:rFonts w:ascii="Calibri" w:cs="Calibri" w:eastAsia="Calibri" w:hAnsi="Calibri"/>
          <w:b w:val="false"/>
          <w:bCs w:val="false"/>
          <w:i w:val="false"/>
          <w:iCs w:val="false"/>
          <w:color w:val="4A5568"/>
          <w:sz w:val="20"/>
          <w:szCs w:val="20"/>
        </w:rPr>
        <w:t xml:space="preserve">•  Cause racine suspectee : absence de procedure standardisee, reglages empiriques</w:t>
      </w:r>
    </w:p>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B45309" w:sz="10"/>
              <w:bottom w:val="none" w:sz="0" w:space="0" w:color="auto"/>
              <w:right w:val="none" w:sz="0" w:space="0" w:color="auto"/>
            </w:tcBorders>
            <w:shd w:fill="FFF8EB"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B45309"/>
                <w:sz w:val="19"/>
                <w:szCs w:val="19"/>
              </w:rPr>
              <w:t xml:space="preserve">PIEGE EVITE :  </w:t>
            </w:r>
            <w:r>
              <w:rPr>
                <w:rFonts w:ascii="Calibri" w:cs="Calibri" w:eastAsia="Calibri" w:hAnsi="Calibri"/>
                <w:b w:val="false"/>
                <w:bCs w:val="false"/>
                <w:i w:val="false"/>
                <w:iCs w:val="false"/>
                <w:color w:val="4A5568"/>
                <w:sz w:val="18"/>
                <w:szCs w:val="18"/>
              </w:rPr>
              <w:t xml:space="preserve">Le consultant resist a la tentation de repondre directement a la demande de vitesse. Il reformule le probleme en se basant sur des faits mesures, pas sur les perceptions. Ce recadrage precoce est la cle du succes de toute la mission.</w:t>
            </w:r>
          </w:p>
        </w:tc>
      </w:tr>
    </w:tbl>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2D7D46" w:sz="10"/>
              <w:bottom w:val="none" w:sz="0" w:space="0" w:color="auto"/>
              <w:right w:val="none" w:sz="0" w:space="0" w:color="auto"/>
            </w:tcBorders>
            <w:shd w:fill="EBF5EB"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2D7D46"/>
                <w:sz w:val="19"/>
                <w:szCs w:val="19"/>
              </w:rPr>
              <w:t xml:space="preserve">RESULTAT :  </w:t>
            </w:r>
            <w:r>
              <w:rPr>
                <w:rFonts w:ascii="Calibri" w:cs="Calibri" w:eastAsia="Calibri" w:hAnsi="Calibri"/>
                <w:b w:val="false"/>
                <w:bCs w:val="false"/>
                <w:i w:val="false"/>
                <w:iCs w:val="false"/>
                <w:color w:val="4A5568"/>
                <w:sz w:val="18"/>
                <w:szCs w:val="18"/>
              </w:rPr>
              <w:t xml:space="preserve">Le probleme est reformule : Reduire les rebuts de demarrage et les temps de changement de serie. Le perimetre est precise, l objectif est chiffre, le Sponsor est identifie. La mission peut demarrer sur des bases solides.</w:t>
            </w:r>
          </w:p>
        </w:tc>
      </w:tr>
    </w:tbl>
    <w:p>
      <w:pPr>
        <w:spacing w:before="24" w:after="2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0D1B2A"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2</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Proposition commerciale et contractualisation  (Chapitre 2)</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La proposition commerciale (Outil 2.1) traduit la reformulation en engagements contractuels. Chaque objectif est SMART : Specifique, Mesurable, Atteignable, Realiste et Temporel.</w:t>
      </w:r>
    </w:p>
    <w:p>
      <w:pPr>
        <w:spacing w:before="10" w:after="8"/>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3169"/>
        <w:gridCol w:w="3169"/>
        <w:gridCol w:w="3568"/>
      </w:tblGrid>
      <w:tr>
        <w:trPr>
          <w:tblHeader/>
        </w:trPr>
        <w:tc>
          <w:tcPr>
            <w:tcW w:type="dxa" w:w="3169"/>
            <w:tcBorders>
              <w:top w:val="single" w:color="FFFFFF" w:sz="4"/>
              <w:left w:val="single" w:color="FFFFFF" w:sz="4"/>
              <w:bottom w:val="single" w:color="FFFFFF" w:sz="4"/>
              <w:right w:val="single" w:color="FFFFFF" w:sz="4"/>
            </w:tcBorders>
            <w:shd w:fill="1B3A5C"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OBJECTIF SMART</w:t>
            </w:r>
          </w:p>
        </w:tc>
        <w:tc>
          <w:tcPr>
            <w:tcW w:type="dxa" w:w="3169"/>
            <w:tcBorders>
              <w:top w:val="single" w:color="FFFFFF" w:sz="4"/>
              <w:left w:val="single" w:color="FFFFFF" w:sz="4"/>
              <w:bottom w:val="single" w:color="FFFFFF" w:sz="4"/>
              <w:right w:val="single" w:color="FFFFFF" w:sz="4"/>
            </w:tcBorders>
            <w:shd w:fill="1B3A5C"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INDICATEUR DE SUCCES</w:t>
            </w:r>
          </w:p>
        </w:tc>
        <w:tc>
          <w:tcPr>
            <w:tcW w:type="dxa" w:w="3568"/>
            <w:tcBorders>
              <w:top w:val="single" w:color="FFFFFF" w:sz="4"/>
              <w:left w:val="single" w:color="FFFFFF" w:sz="4"/>
              <w:bottom w:val="single" w:color="FFFFFF" w:sz="4"/>
              <w:right w:val="single" w:color="FFFFFF" w:sz="4"/>
            </w:tcBorders>
            <w:shd w:fill="1B3A5C"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METHODE DE VALIDATION</w:t>
            </w:r>
          </w:p>
        </w:tc>
      </w:tr>
      <w:tr>
        <w:trPr>
          <w:tblHeader w:val="false"/>
        </w:trPr>
        <w:tc>
          <w:tcPr>
            <w:tcW w:type="dxa" w:w="316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Reduire les rebuts de 5% a 2%</w:t>
            </w:r>
          </w:p>
        </w:tc>
        <w:tc>
          <w:tcPr>
            <w:tcW w:type="dxa" w:w="316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Taux de rebuts mesure sur 3 shifts consecutifs</w:t>
            </w:r>
          </w:p>
        </w:tc>
        <w:tc>
          <w:tcPr>
            <w:tcW w:type="dxa" w:w="3568"/>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Validation CDG sur donnees MES</w:t>
            </w:r>
          </w:p>
        </w:tc>
      </w:tr>
      <w:tr>
        <w:trPr>
          <w:tblHeader w:val="false"/>
        </w:trPr>
        <w:tc>
          <w:tcPr>
            <w:tcW w:type="dxa" w:w="316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Reduire changement serie 45-&gt;20 min</w:t>
            </w:r>
          </w:p>
        </w:tc>
        <w:tc>
          <w:tcPr>
            <w:tcW w:type="dxa" w:w="316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Chronometrage video de 3 changements</w:t>
            </w:r>
          </w:p>
        </w:tc>
        <w:tc>
          <w:tcPr>
            <w:tcW w:type="dxa" w:w="3568"/>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PV de gains signe CDG + Sponsor</w:t>
            </w:r>
          </w:p>
        </w:tc>
      </w:tr>
      <w:tr>
        <w:trPr>
          <w:tblHeader w:val="false"/>
        </w:trPr>
        <w:tc>
          <w:tcPr>
            <w:tcW w:type="dxa" w:w="316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Gain financier 150 000 euros/an</w:t>
            </w:r>
          </w:p>
        </w:tc>
        <w:tc>
          <w:tcPr>
            <w:tcW w:type="dxa" w:w="316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Calcul CDG : matieres + productivite</w:t>
            </w:r>
          </w:p>
        </w:tc>
        <w:tc>
          <w:tcPr>
            <w:tcW w:type="dxa" w:w="3568"/>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Signature procès-verbal J+90</w:t>
            </w:r>
          </w:p>
        </w:tc>
      </w:tr>
      <w:tr>
        <w:trPr>
          <w:tblHeader w:val="false"/>
        </w:trPr>
        <w:tc>
          <w:tcPr>
            <w:tcW w:type="dxa" w:w="316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ROI mission &gt; 150%</w:t>
            </w:r>
          </w:p>
        </w:tc>
        <w:tc>
          <w:tcPr>
            <w:tcW w:type="dxa" w:w="316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(Gains - Cout) / Cout mission</w:t>
            </w:r>
          </w:p>
        </w:tc>
        <w:tc>
          <w:tcPr>
            <w:tcW w:type="dxa" w:w="3568"/>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Rapport final valide Sponsor</w:t>
            </w:r>
          </w:p>
        </w:tc>
      </w:tr>
    </w:tbl>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2C7873" w:sz="10"/>
              <w:bottom w:val="none" w:sz="0" w:space="0" w:color="auto"/>
              <w:right w:val="none" w:sz="0" w:space="0" w:color="auto"/>
            </w:tcBorders>
            <w:shd w:fill="EBF5F5"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2C7873"/>
                <w:sz w:val="19"/>
                <w:szCs w:val="19"/>
              </w:rPr>
              <w:t xml:space="preserve">CONSEIL DU CONSULTANT :  </w:t>
            </w:r>
            <w:r>
              <w:rPr>
                <w:rFonts w:ascii="Calibri" w:cs="Calibri" w:eastAsia="Calibri" w:hAnsi="Calibri"/>
                <w:b w:val="false"/>
                <w:bCs w:val="false"/>
                <w:i w:val="false"/>
                <w:iCs w:val="false"/>
                <w:color w:val="4A5568"/>
                <w:sz w:val="18"/>
                <w:szCs w:val="18"/>
              </w:rPr>
              <w:t xml:space="preserve">La proposition commerciale doit etre redigee comme un contrat de performance, pas comme une proposition de formation. Chaque deliverable est associe a un indicateur mesurable et a une methode de validation opposable.</w:t>
            </w:r>
          </w:p>
        </w:tc>
      </w:tr>
    </w:tbl>
    <w:p>
      <w:pPr>
        <w:spacing w:before="24" w:after="2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0D1B2A"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3</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Kick-off et lancement de la mission  (Chapitre 3)</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La reunion de lancement rassemble les chefs d equipe et les operateurs. Le consultant presente le Project Charter (Outil 5.1) et la Matrice RACI. Deux messages cles sont delivres avec conviction :</w:t>
      </w:r>
    </w:p>
    <w:p>
      <w:pPr>
        <w:spacing w:before="10" w:after="8"/>
      </w:pPr>
    </w:p>
    <w:p>
      <w:pPr>
        <w:spacing w:before="40" w:after="40"/>
        <w:ind w:left="200"/>
        <w:jc w:val="left"/>
      </w:pPr>
      <w:r>
        <w:rPr>
          <w:rFonts w:ascii="Calibri" w:cs="Calibri" w:eastAsia="Calibri" w:hAnsi="Calibri"/>
          <w:b w:val="false"/>
          <w:bCs w:val="false"/>
          <w:i w:val="false"/>
          <w:iCs w:val="false"/>
          <w:color w:val="4A5568"/>
          <w:sz w:val="20"/>
          <w:szCs w:val="20"/>
        </w:rPr>
        <w:t xml:space="preserve">•  L objectif n est pas de travailler plus vite, mais de travailler mieux (moins de rebuts = moins de stress pour tous)</w:t>
      </w:r>
    </w:p>
    <w:p>
      <w:pPr>
        <w:spacing w:before="40" w:after="40"/>
        <w:ind w:left="200"/>
        <w:jc w:val="left"/>
      </w:pPr>
      <w:r>
        <w:rPr>
          <w:rFonts w:ascii="Calibri" w:cs="Calibri" w:eastAsia="Calibri" w:hAnsi="Calibri"/>
          <w:b w:val="false"/>
          <w:bCs w:val="false"/>
          <w:i w:val="false"/>
          <w:iCs w:val="false"/>
          <w:color w:val="4A5568"/>
          <w:sz w:val="20"/>
          <w:szCs w:val="20"/>
        </w:rPr>
        <w:t xml:space="preserve">•  Personne ne sera juge. Tout sera mesure. Les faits guident les decisions, pas les opinions</w:t>
      </w:r>
    </w:p>
    <w:p>
      <w:pPr>
        <w:spacing w:before="10" w:after="8"/>
      </w:pPr>
    </w:p>
    <w:p>
      <w:pPr>
        <w:spacing w:before="70" w:after="70"/>
        <w:jc w:val="both"/>
      </w:pPr>
      <w:r>
        <w:rPr>
          <w:rFonts w:ascii="Calibri" w:cs="Calibri" w:eastAsia="Calibri" w:hAnsi="Calibri"/>
          <w:b w:val="false"/>
          <w:bCs w:val="false"/>
          <w:i w:val="false"/>
          <w:iCs w:val="false"/>
          <w:color w:val="4A5568"/>
          <w:sz w:val="21"/>
          <w:szCs w:val="21"/>
        </w:rPr>
        <w:t xml:space="preserve">Le planning est affiche dans l atelier des le premier jour. Cette visibilite immediate donne de la credibilite au projet et signal un engagement concret de la direction.</w:t>
      </w:r>
    </w:p>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2C7873" w:sz="10"/>
              <w:bottom w:val="none" w:sz="0" w:space="0" w:color="auto"/>
              <w:right w:val="none" w:sz="0" w:space="0" w:color="auto"/>
            </w:tcBorders>
            <w:shd w:fill="EBF5F5"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2C7873"/>
                <w:sz w:val="19"/>
                <w:szCs w:val="19"/>
              </w:rPr>
              <w:t xml:space="preserve">CONSEIL DU CONSULTANT :  </w:t>
            </w:r>
            <w:r>
              <w:rPr>
                <w:rFonts w:ascii="Calibri" w:cs="Calibri" w:eastAsia="Calibri" w:hAnsi="Calibri"/>
                <w:b w:val="false"/>
                <w:bCs w:val="false"/>
                <w:i w:val="false"/>
                <w:iCs w:val="false"/>
                <w:color w:val="4A5568"/>
                <w:sz w:val="18"/>
                <w:szCs w:val="18"/>
              </w:rPr>
              <w:t xml:space="preserve">L affichage physique du planning dans l atelier (pas seulement dans les bureaux) est un signal fort : le projet se passe ici, sur le terrain. C est un element de management visuel elementaire mais tres efficace pour creer l adhesion.</w:t>
            </w:r>
          </w:p>
        </w:tc>
      </w:tr>
    </w:tbl>
    <w:p>
      <w:pPr>
        <w:spacing w:before="0" w:after="0"/>
      </w:pPr>
      <w:r>
        <w:br w:type="page"/>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594"/>
        <w:gridCol w:w="9312"/>
      </w:tblGrid>
      <w:tr>
        <w:trPr>
          <w:tblHeader w:val="false"/>
        </w:trPr>
        <w:tc>
          <w:tcPr>
            <w:tcW w:type="dxa" w:w="594"/>
            <w:tcBorders>
              <w:top w:val="none" w:color="FFFFFF" w:sz="0"/>
              <w:left w:val="none" w:color="FFFFFF" w:sz="0"/>
              <w:bottom w:val="none" w:color="FFFFFF" w:sz="0"/>
              <w:right w:val="none" w:color="FFFFFF" w:sz="0"/>
            </w:tcBorders>
            <w:shd w:fill="1B3A5C" w:color="auto" w:val="clear"/>
            <w:tcMar>
              <w:top w:type="dxa" w:w="50"/>
              <w:left w:type="dxa" w:w="40"/>
              <w:bottom w:type="dxa" w:w="50"/>
              <w:right w:type="dxa" w:w="40"/>
            </w:tcMar>
            <w:vAlign w:val="top"/>
          </w:tcPr>
          <w:p>
            <w:pPr>
              <w:spacing w:before="60" w:after="60"/>
              <w:jc w:val="center"/>
            </w:pPr>
            <w:r>
              <w:rPr>
                <w:rFonts w:ascii="Calibri" w:cs="Calibri" w:eastAsia="Calibri" w:hAnsi="Calibri"/>
                <w:b/>
                <w:bCs/>
                <w:i w:val="false"/>
                <w:iCs w:val="false"/>
                <w:color w:val="FFFFFF"/>
                <w:sz w:val="22"/>
                <w:szCs w:val="22"/>
              </w:rPr>
              <w:t xml:space="preserve">PHASE 2</w:t>
            </w:r>
          </w:p>
        </w:tc>
        <w:tc>
          <w:tcPr>
            <w:tcW w:type="dxa" w:w="9312"/>
            <w:tcBorders>
              <w:top w:val="none" w:sz="0" w:space="0" w:color="auto"/>
              <w:left w:val="single" w:color="1B3A5C" w:sz="10"/>
              <w:bottom w:val="none" w:sz="0" w:space="0" w:color="auto"/>
              <w:right w:val="none" w:sz="0" w:space="0" w:color="auto"/>
            </w:tcBorders>
            <w:shd w:fill="F4F6F9" w:color="auto" w:val="clear"/>
            <w:tcMar>
              <w:top w:type="dxa" w:w="50"/>
              <w:left w:type="dxa" w:w="140"/>
              <w:bottom w:type="dxa" w:w="50"/>
              <w:right w:type="dxa" w:w="80"/>
            </w:tcMar>
            <w:vAlign w:val="top"/>
          </w:tcPr>
          <w:p>
            <w:pPr>
              <w:spacing w:before="60" w:after="60"/>
              <w:jc w:val="left"/>
            </w:pPr>
            <w:r>
              <w:rPr>
                <w:rFonts w:ascii="Calibri" w:cs="Calibri" w:eastAsia="Calibri" w:hAnsi="Calibri"/>
                <w:b/>
                <w:bCs/>
                <w:i w:val="false"/>
                <w:iCs w:val="false"/>
                <w:color w:val="1B3A5C"/>
                <w:sz w:val="22"/>
                <w:szCs w:val="22"/>
              </w:rPr>
              <w:t xml:space="preserve">DIAGNOSTIC ET PLANIFICATION STRATEGIQUE  (Chapitres 4 a 6)</w:t>
            </w:r>
          </w:p>
        </w:tc>
      </w:tr>
    </w:tbl>
    <w:p>
      <w:pPr>
        <w:spacing w:before="30" w:after="24"/>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1B3A5C"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4</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Immersion terrain et VSM  (Chapitre 4)</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Le consultant realise un Gemba Walk structure de la ligne complete (Broyeur -&gt; Extrudeuse -&gt; Bain -&gt; Tracteur -&gt; Scie). Il utilise la Grille d observation des 7 gaspillages (Outil 4.1). Cette observation directe revele des ecarts que les rapports ne montrent pas.</w:t>
      </w:r>
    </w:p>
    <w:p>
      <w:pPr>
        <w:spacing w:before="10" w:after="8"/>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1981"/>
        <w:gridCol w:w="3764"/>
        <w:gridCol w:w="4161"/>
      </w:tblGrid>
      <w:tr>
        <w:trPr>
          <w:tblHeader/>
        </w:trPr>
        <w:tc>
          <w:tcPr>
            <w:tcW w:type="dxa" w:w="1981"/>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TYPE MUDA</w:t>
            </w:r>
          </w:p>
        </w:tc>
        <w:tc>
          <w:tcPr>
            <w:tcW w:type="dxa" w:w="3764"/>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OBSERVATION CONCRETE</w:t>
            </w:r>
          </w:p>
        </w:tc>
        <w:tc>
          <w:tcPr>
            <w:tcW w:type="dxa" w:w="4161"/>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IMPACT ESTIME</w:t>
            </w:r>
          </w:p>
        </w:tc>
      </w:tr>
      <w:tr>
        <w:trPr>
          <w:tblHeader w:val="false"/>
        </w:trPr>
        <w:tc>
          <w:tcPr>
            <w:tcW w:type="dxa" w:w="198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Mouvement inutile</w:t>
            </w:r>
          </w:p>
        </w:tc>
        <w:tc>
          <w:tcPr>
            <w:tcW w:type="dxa" w:w="3764"/>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Les operateurs cherchent les cles de la filiere pendant 10 minutes apres chaque changement. L outil n a pas d emplacement fixe.</w:t>
            </w:r>
          </w:p>
        </w:tc>
        <w:tc>
          <w:tcPr>
            <w:tcW w:type="dxa" w:w="416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5 a 10 min perdues par changement soit 25 a 50 min/semaine sur L3</w:t>
            </w:r>
          </w:p>
        </w:tc>
      </w:tr>
      <w:tr>
        <w:trPr>
          <w:tblHeader w:val="false"/>
        </w:trPr>
        <w:tc>
          <w:tcPr>
            <w:tcW w:type="dxa" w:w="198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Attente (machine)</w:t>
            </w:r>
          </w:p>
        </w:tc>
        <w:tc>
          <w:tcPr>
            <w:tcW w:type="dxa" w:w="3764"/>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La temperature de l extrudeuse prend 20 min a se stabiliser apres un changement de couleur. Le processus de chauffe n est pas optimise.</w:t>
            </w:r>
          </w:p>
        </w:tc>
        <w:tc>
          <w:tcPr>
            <w:tcW w:type="dxa" w:w="416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20 min de production perdue soit 1 h 40 min/semaine</w:t>
            </w:r>
          </w:p>
        </w:tc>
      </w:tr>
      <w:tr>
        <w:trPr>
          <w:tblHeader w:val="false"/>
        </w:trPr>
        <w:tc>
          <w:tcPr>
            <w:tcW w:type="dxa" w:w="198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Defauts / Rebuts</w:t>
            </w:r>
          </w:p>
        </w:tc>
        <w:tc>
          <w:tcPr>
            <w:tcW w:type="dxa" w:w="3764"/>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Taux de rebuts au demarrage : 5%. Les 10 premieres minutes apres chaque changement sont critiques (temperature instable).</w:t>
            </w:r>
          </w:p>
        </w:tc>
        <w:tc>
          <w:tcPr>
            <w:tcW w:type="dxa" w:w="416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Cout matiere : 80 000 euros/an estime</w:t>
            </w:r>
          </w:p>
        </w:tc>
      </w:tr>
      <w:tr>
        <w:trPr>
          <w:tblHeader w:val="false"/>
        </w:trPr>
        <w:tc>
          <w:tcPr>
            <w:tcW w:type="dxa" w:w="198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Surtraitement</w:t>
            </w:r>
          </w:p>
        </w:tc>
        <w:tc>
          <w:tcPr>
            <w:tcW w:type="dxa" w:w="3764"/>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Reglages de la scie effectues a l oeil par chaque regleur. Absence de gamme de reglage standard.</w:t>
            </w:r>
          </w:p>
        </w:tc>
        <w:tc>
          <w:tcPr>
            <w:tcW w:type="dxa" w:w="416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Variabilite inter-operateurs elevee, source de 30% des rebuts</w:t>
            </w:r>
          </w:p>
        </w:tc>
      </w:tr>
    </w:tbl>
    <w:p>
      <w:pPr>
        <w:spacing w:before="14" w:after="10"/>
      </w:pPr>
    </w:p>
    <w:p>
      <w:pPr>
        <w:spacing w:before="70" w:after="70"/>
        <w:jc w:val="both"/>
      </w:pPr>
      <w:r>
        <w:rPr>
          <w:rFonts w:ascii="Calibri" w:cs="Calibri" w:eastAsia="Calibri" w:hAnsi="Calibri"/>
          <w:b w:val="false"/>
          <w:bCs w:val="false"/>
          <w:i w:val="false"/>
          <w:iCs w:val="false"/>
          <w:color w:val="4A5568"/>
          <w:sz w:val="21"/>
          <w:szCs w:val="21"/>
        </w:rPr>
        <w:t xml:space="preserve">La cartographie VSM (Value Stream Mapping) de l etat actuel est construite avec les operateurs. Cette co-construction est strategique : les operateurs valident les observations, renforcant la credibilite des donnees et leur adhesion au projet.</w:t>
      </w:r>
    </w:p>
    <w:p>
      <w:pPr>
        <w:spacing w:before="24" w:after="2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1B3A5C"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5</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Analyse des causes racines et choix methodologique  (Chapitres 5 et 6)</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Un atelier Ishikawa (Outil 8.2) est anime avec le chef de ligne, le regleur et deux operateurs. La question posee : Pourquoi les rebuts sont-ils si eleves au demarrage ? Les 5 Pourquoi approfondissent chaque branche.</w:t>
      </w:r>
    </w:p>
    <w:p>
      <w:pPr>
        <w:spacing w:before="10" w:after="8"/>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2377"/>
        <w:gridCol w:w="2377"/>
        <w:gridCol w:w="2973"/>
      </w:tblGrid>
      <w:tr>
        <w:trPr>
          <w:tblHeader/>
        </w:trPr>
        <w:tc>
          <w:tcPr>
            <w:tcW w:type="dxa" w:w="2179"/>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CATEGORIE (6M)</w:t>
            </w:r>
          </w:p>
        </w:tc>
        <w:tc>
          <w:tcPr>
            <w:tcW w:type="dxa" w:w="2377"/>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CAUSE IDENTIFIEE</w:t>
            </w:r>
          </w:p>
        </w:tc>
        <w:tc>
          <w:tcPr>
            <w:tcW w:type="dxa" w:w="2377"/>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CAUSE RACINE</w:t>
            </w:r>
          </w:p>
        </w:tc>
        <w:tc>
          <w:tcPr>
            <w:tcW w:type="dxa" w:w="2973"/>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OUTIL DE RESOLUTION</w:t>
            </w:r>
          </w:p>
        </w:tc>
      </w:tr>
      <w:tr>
        <w:trPr>
          <w:tblHeader w:val="false"/>
        </w:trPr>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Methode</w:t>
            </w:r>
          </w:p>
        </w:tc>
        <w:tc>
          <w:tcPr>
            <w:tcW w:type="dxa" w:w="2377"/>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Pas de procedure de prechauffage standardisee</w:t>
            </w:r>
          </w:p>
        </w:tc>
        <w:tc>
          <w:tcPr>
            <w:tcW w:type="dxa" w:w="2377"/>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Absence de SOP formalisee pour le demarrage post-changement</w:t>
            </w:r>
          </w:p>
        </w:tc>
        <w:tc>
          <w:tcPr>
            <w:tcW w:type="dxa" w:w="297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SMED + Standardisation</w:t>
            </w:r>
          </w:p>
        </w:tc>
      </w:tr>
      <w:tr>
        <w:trPr>
          <w:tblHeader w:val="false"/>
        </w:trPr>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Machine</w:t>
            </w:r>
          </w:p>
        </w:tc>
        <w:tc>
          <w:tcPr>
            <w:tcW w:type="dxa" w:w="2377"/>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Reglages de la scie faits a l eil par l operateur</w:t>
            </w:r>
          </w:p>
        </w:tc>
        <w:tc>
          <w:tcPr>
            <w:tcW w:type="dxa" w:w="2377"/>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Aucune gamme de reglage avec valeurs cibles definies</w:t>
            </w:r>
          </w:p>
        </w:tc>
        <w:tc>
          <w:tcPr>
            <w:tcW w:type="dxa" w:w="297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Six Sigma DMAIC</w:t>
            </w:r>
          </w:p>
        </w:tc>
      </w:tr>
      <w:tr>
        <w:trPr>
          <w:tblHeader w:val="false"/>
        </w:trPr>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Machine</w:t>
            </w:r>
          </w:p>
        </w:tc>
        <w:tc>
          <w:tcPr>
            <w:tcW w:type="dxa" w:w="2377"/>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Temperature instable 20 min apres changement</w:t>
            </w:r>
          </w:p>
        </w:tc>
        <w:tc>
          <w:tcPr>
            <w:tcW w:type="dxa" w:w="2377"/>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Pas de protocole de montee en temperature, dependance a l experience</w:t>
            </w:r>
          </w:p>
        </w:tc>
        <w:tc>
          <w:tcPr>
            <w:tcW w:type="dxa" w:w="297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SMED + SOP prechauffage</w:t>
            </w:r>
          </w:p>
        </w:tc>
      </w:tr>
      <w:tr>
        <w:trPr>
          <w:tblHeader w:val="false"/>
        </w:trPr>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Mesure</w:t>
            </w:r>
          </w:p>
        </w:tc>
        <w:tc>
          <w:tcPr>
            <w:tcW w:type="dxa" w:w="2377"/>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Taux de rebuts non mesuré par sequence</w:t>
            </w:r>
          </w:p>
        </w:tc>
        <w:tc>
          <w:tcPr>
            <w:tcW w:type="dxa" w:w="2377"/>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Indicateur global masque la variabilite du demarrage</w:t>
            </w:r>
          </w:p>
        </w:tc>
        <w:tc>
          <w:tcPr>
            <w:tcW w:type="dxa" w:w="297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Plan de mesure dedie</w:t>
            </w:r>
          </w:p>
        </w:tc>
      </w:tr>
    </w:tbl>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C8963E" w:sz="14"/>
              <w:bottom w:val="none" w:sz="0" w:space="0" w:color="auto"/>
              <w:right w:val="none" w:sz="0" w:space="0" w:color="auto"/>
            </w:tcBorders>
            <w:shd w:fill="FFF8EB" w:color="auto" w:val="clear"/>
            <w:tcMar>
              <w:top w:type="dxa" w:w="80"/>
              <w:left w:type="dxa" w:w="120"/>
              <w:bottom w:type="dxa" w:w="80"/>
              <w:right w:type="dxa" w:w="120"/>
            </w:tcMar>
            <w:vAlign w:val="top"/>
          </w:tcPr>
          <w:p>
            <w:pPr>
              <w:pBdr>
                <w:top w:val="none" w:color="FFFFFF" w:sz="0"/>
                <w:left w:val="none" w:color="FFFFFF" w:sz="0"/>
                <w:bottom w:val="single" w:color="C8963E" w:sz="4"/>
                <w:right w:val="none" w:color="FFFFFF" w:sz="0"/>
              </w:pBdr>
              <w:spacing w:before="55" w:after="40"/>
              <w:jc w:val="left"/>
            </w:pPr>
            <w:r>
              <w:rPr>
                <w:rFonts w:ascii="Calibri" w:cs="Calibri" w:eastAsia="Calibri" w:hAnsi="Calibri"/>
                <w:b/>
                <w:bCs/>
                <w:i w:val="false"/>
                <w:iCs w:val="false"/>
                <w:color w:val="C8963E"/>
                <w:sz w:val="20"/>
                <w:szCs w:val="20"/>
              </w:rPr>
              <w:t xml:space="preserve">CHOIX METHODOLOGIQUE</w:t>
            </w:r>
          </w:p>
          <w:p>
            <w:pPr>
              <w:spacing w:before="30" w:after="55"/>
              <w:jc w:val="both"/>
            </w:pPr>
            <w:r>
              <w:rPr>
                <w:rFonts w:ascii="Calibri" w:cs="Calibri" w:eastAsia="Calibri" w:hAnsi="Calibri"/>
                <w:b w:val="false"/>
                <w:bCs w:val="false"/>
                <w:i w:val="false"/>
                <w:iCs w:val="false"/>
                <w:color w:val="4A5568"/>
                <w:sz w:val="19"/>
                <w:szCs w:val="19"/>
              </w:rPr>
              <w:t xml:space="preserve">Deux methodologies complementaires sont selectionnees : (1) SMED (Single Minute Exchange of Die) pour attaquer les temps de changement - le flux est bloque par des operations internes qui pourraient etre preparees en avance. (2) Six Sigma DMAIC pour la stabilisation de la temperature et la reduction des rebuts - la variabilite est le probleme, et Six Sigma est l outil adapte pour la mesurer et la maitriser.</w:t>
            </w:r>
          </w:p>
        </w:tc>
      </w:tr>
    </w:tbl>
    <w:p>
      <w:pPr>
        <w:spacing w:before="0" w:after="0"/>
      </w:pPr>
      <w:r>
        <w:br w:type="page"/>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594"/>
        <w:gridCol w:w="9312"/>
      </w:tblGrid>
      <w:tr>
        <w:trPr>
          <w:tblHeader w:val="false"/>
        </w:trPr>
        <w:tc>
          <w:tcPr>
            <w:tcW w:type="dxa" w:w="594"/>
            <w:tcBorders>
              <w:top w:val="none" w:color="FFFFFF" w:sz="0"/>
              <w:left w:val="none" w:color="FFFFFF" w:sz="0"/>
              <w:bottom w:val="none" w:color="FFFFFF" w:sz="0"/>
              <w:right w:val="none" w:color="FFFFFF" w:sz="0"/>
            </w:tcBorders>
            <w:shd w:fill="2E6DA4" w:color="auto" w:val="clear"/>
            <w:tcMar>
              <w:top w:type="dxa" w:w="50"/>
              <w:left w:type="dxa" w:w="40"/>
              <w:bottom w:type="dxa" w:w="50"/>
              <w:right w:type="dxa" w:w="40"/>
            </w:tcMar>
            <w:vAlign w:val="top"/>
          </w:tcPr>
          <w:p>
            <w:pPr>
              <w:spacing w:before="60" w:after="60"/>
              <w:jc w:val="center"/>
            </w:pPr>
            <w:r>
              <w:rPr>
                <w:rFonts w:ascii="Calibri" w:cs="Calibri" w:eastAsia="Calibri" w:hAnsi="Calibri"/>
                <w:b/>
                <w:bCs/>
                <w:i w:val="false"/>
                <w:iCs w:val="false"/>
                <w:color w:val="FFFFFF"/>
                <w:sz w:val="22"/>
                <w:szCs w:val="22"/>
              </w:rPr>
              <w:t xml:space="preserve">PHASE 3</w:t>
            </w:r>
          </w:p>
        </w:tc>
        <w:tc>
          <w:tcPr>
            <w:tcW w:type="dxa" w:w="9312"/>
            <w:tcBorders>
              <w:top w:val="none" w:sz="0" w:space="0" w:color="auto"/>
              <w:left w:val="single" w:color="2E6DA4" w:sz="10"/>
              <w:bottom w:val="none" w:sz="0" w:space="0" w:color="auto"/>
              <w:right w:val="none" w:sz="0" w:space="0" w:color="auto"/>
            </w:tcBorders>
            <w:shd w:fill="F4F6F9" w:color="auto" w:val="clear"/>
            <w:tcMar>
              <w:top w:type="dxa" w:w="50"/>
              <w:left w:type="dxa" w:w="140"/>
              <w:bottom w:type="dxa" w:w="50"/>
              <w:right w:type="dxa" w:w="80"/>
            </w:tcMar>
            <w:vAlign w:val="top"/>
          </w:tcPr>
          <w:p>
            <w:pPr>
              <w:spacing w:before="60" w:after="60"/>
              <w:jc w:val="left"/>
            </w:pPr>
            <w:r>
              <w:rPr>
                <w:rFonts w:ascii="Calibri" w:cs="Calibri" w:eastAsia="Calibri" w:hAnsi="Calibri"/>
                <w:b/>
                <w:bCs/>
                <w:i w:val="false"/>
                <w:iCs w:val="false"/>
                <w:color w:val="2E6DA4"/>
                <w:sz w:val="22"/>
                <w:szCs w:val="22"/>
              </w:rPr>
              <w:t xml:space="preserve">EXECUTION ET GESTION DE LA MISSION  (Chapitres 7 a 9)</w:t>
            </w:r>
          </w:p>
        </w:tc>
      </w:tr>
    </w:tbl>
    <w:p>
      <w:pPr>
        <w:spacing w:before="30" w:after="24"/>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2E6DA4"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6</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Chantier Kaizen SMED sur la Ligne 3  (Chapitres 7 et 8)</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Une semaine de chantier Kaizen est organisee sur la ligne 3. Le consultant pilote la decomposition du changement de serie en operations elementaires. L analyse interne/externe est le premier resultat concret.</w:t>
      </w:r>
    </w:p>
    <w:p>
      <w:pPr>
        <w:spacing w:before="10" w:after="8"/>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377"/>
        <w:gridCol w:w="2179"/>
        <w:gridCol w:w="2179"/>
        <w:gridCol w:w="3171"/>
      </w:tblGrid>
      <w:tr>
        <w:trPr>
          <w:tblHeader/>
        </w:trPr>
        <w:tc>
          <w:tcPr>
            <w:tcW w:type="dxa" w:w="2377"/>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ACTION SMED</w:t>
            </w:r>
          </w:p>
        </w:tc>
        <w:tc>
          <w:tcPr>
            <w:tcW w:type="dxa" w:w="2179"/>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AVANT</w:t>
            </w:r>
          </w:p>
        </w:tc>
        <w:tc>
          <w:tcPr>
            <w:tcW w:type="dxa" w:w="2179"/>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APRES</w:t>
            </w:r>
          </w:p>
        </w:tc>
        <w:tc>
          <w:tcPr>
            <w:tcW w:type="dxa" w:w="3171"/>
            <w:tcBorders>
              <w:top w:val="single" w:color="FFFFFF" w:sz="4"/>
              <w:left w:val="single" w:color="FFFFFF" w:sz="4"/>
              <w:bottom w:val="single" w:color="FFFFFF" w:sz="4"/>
              <w:right w:val="single" w:color="FFFFFF" w:sz="4"/>
            </w:tcBorders>
            <w:shd w:fill="2E6DA4"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GAIN</w:t>
            </w:r>
          </w:p>
        </w:tc>
      </w:tr>
      <w:tr>
        <w:trPr>
          <w:tblHeader w:val="false"/>
        </w:trPr>
        <w:tc>
          <w:tcPr>
            <w:tcW w:type="dxa" w:w="2377"/>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Preparation filiere suivante (externe)</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Faite machine a l arret (interne : 15 min)</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Faite pendant que la machine tourne (externe)</w:t>
            </w:r>
          </w:p>
        </w:tc>
        <w:tc>
          <w:tcPr>
            <w:tcW w:type="dxa" w:w="317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15 min gagnes</w:t>
            </w:r>
          </w:p>
        </w:tc>
      </w:tr>
      <w:tr>
        <w:trPr>
          <w:tblHeader w:val="false"/>
        </w:trPr>
        <w:tc>
          <w:tcPr>
            <w:tcW w:type="dxa" w:w="2377"/>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Prechauffage filiere (chariots)</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Filiere froide sortie du stockage (interne : 12 min)</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Chariots prechauffes en zone grise en avance (externe)</w:t>
            </w:r>
          </w:p>
        </w:tc>
        <w:tc>
          <w:tcPr>
            <w:tcW w:type="dxa" w:w="317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12 min gagnes</w:t>
            </w:r>
          </w:p>
        </w:tc>
      </w:tr>
      <w:tr>
        <w:trPr>
          <w:tblHeader w:val="false"/>
        </w:trPr>
        <w:tc>
          <w:tcPr>
            <w:tcW w:type="dxa" w:w="2377"/>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Recherche et mise en place des outils</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10 min de recherche des cles et outils (7 Muda)</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Shadow board 5S : emplacements marques, outils a portee</w:t>
            </w:r>
          </w:p>
        </w:tc>
        <w:tc>
          <w:tcPr>
            <w:tcW w:type="dxa" w:w="317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8 min gagnes</w:t>
            </w:r>
          </w:p>
        </w:tc>
      </w:tr>
      <w:tr>
        <w:trPr>
          <w:tblHeader w:val="false"/>
        </w:trPr>
        <w:tc>
          <w:tcPr>
            <w:tcW w:type="dxa" w:w="2377"/>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Reglage de la scie</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Reglage a l eil, 3 a 5 essais (15 min)</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Gamme de reglage avec valeurs cibles, 1 essai</w:t>
            </w:r>
          </w:p>
        </w:tc>
        <w:tc>
          <w:tcPr>
            <w:tcW w:type="dxa" w:w="317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10 min gagnes</w:t>
            </w:r>
          </w:p>
        </w:tc>
      </w:tr>
      <w:tr>
        <w:trPr>
          <w:tblHeader w:val="false"/>
        </w:trPr>
        <w:tc>
          <w:tcPr>
            <w:tcW w:type="dxa" w:w="2377"/>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TOTAL CHANGEMENT</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45 minutes</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25 minutes</w:t>
            </w:r>
          </w:p>
        </w:tc>
        <w:tc>
          <w:tcPr>
            <w:tcW w:type="dxa" w:w="317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-20 min (1er chantier)</w:t>
            </w:r>
          </w:p>
        </w:tc>
      </w:tr>
    </w:tbl>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2D7D46" w:sz="10"/>
              <w:bottom w:val="none" w:sz="0" w:space="0" w:color="auto"/>
              <w:right w:val="none" w:sz="0" w:space="0" w:color="auto"/>
            </w:tcBorders>
            <w:shd w:fill="EBF5EB"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2D7D46"/>
                <w:sz w:val="19"/>
                <w:szCs w:val="19"/>
              </w:rPr>
              <w:t xml:space="preserve">RESULTAT :  </w:t>
            </w:r>
            <w:r>
              <w:rPr>
                <w:rFonts w:ascii="Calibri" w:cs="Calibri" w:eastAsia="Calibri" w:hAnsi="Calibri"/>
                <w:b w:val="false"/>
                <w:bCs w:val="false"/>
                <w:i w:val="false"/>
                <w:iCs w:val="false"/>
                <w:color w:val="4A5568"/>
                <w:sz w:val="18"/>
                <w:szCs w:val="18"/>
              </w:rPr>
              <w:t xml:space="preserve">Resultat du premier chantier Kaizen SMED : le temps de changement de serie passe de 45 minutes a 25 minutes. Gain immediat de 20 minutes, soit une reduction de 44%. L objectif de 20 minutes est atteignable avec la phase de standardisation.</w:t>
            </w:r>
          </w:p>
        </w:tc>
      </w:tr>
    </w:tbl>
    <w:p>
      <w:pPr>
        <w:spacing w:before="24" w:after="2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2E6DA4"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7</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Gestion de la mission et pièges evites  (Chapitre Posture)</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Mi-mission, le Regleur principal tombe malade. La direction demande au consultant de le remplacer operationnellement pour eviter d interrompre le projet. Cette situation est un test de la posture du consultant.</w:t>
      </w:r>
    </w:p>
    <w:p>
      <w:pPr>
        <w:spacing w:before="12"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575"/>
        <w:gridCol w:w="3566"/>
        <w:gridCol w:w="3765"/>
      </w:tblGrid>
      <w:tr>
        <w:trPr>
          <w:tblHeader/>
        </w:trPr>
        <w:tc>
          <w:tcPr>
            <w:tcW w:type="dxa" w:w="2575"/>
            <w:tcBorders>
              <w:top w:val="single" w:color="FFFFFF" w:sz="4"/>
              <w:left w:val="single" w:color="FFFFFF" w:sz="4"/>
              <w:bottom w:val="single" w:color="FFFFFF" w:sz="4"/>
              <w:right w:val="single" w:color="FFFFFF" w:sz="4"/>
            </w:tcBorders>
            <w:shd w:fill="C53030"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PIEGE IDENTIFIE</w:t>
            </w:r>
          </w:p>
        </w:tc>
        <w:tc>
          <w:tcPr>
            <w:tcW w:type="dxa" w:w="3566"/>
            <w:tcBorders>
              <w:top w:val="single" w:color="FFFFFF" w:sz="4"/>
              <w:left w:val="single" w:color="FFFFFF" w:sz="4"/>
              <w:bottom w:val="single" w:color="FFFFFF" w:sz="4"/>
              <w:right w:val="single" w:color="FFFFFF" w:sz="4"/>
            </w:tcBorders>
            <w:shd w:fill="C53030"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ERREUR CLASSIQUE</w:t>
            </w:r>
          </w:p>
        </w:tc>
        <w:tc>
          <w:tcPr>
            <w:tcW w:type="dxa" w:w="3765"/>
            <w:tcBorders>
              <w:top w:val="single" w:color="FFFFFF" w:sz="4"/>
              <w:left w:val="single" w:color="FFFFFF" w:sz="4"/>
              <w:bottom w:val="single" w:color="FFFFFF" w:sz="4"/>
              <w:right w:val="single" w:color="FFFFFF" w:sz="4"/>
            </w:tcBorders>
            <w:shd w:fill="C53030"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DECISION DU CONSULTANT</w:t>
            </w:r>
          </w:p>
        </w:tc>
      </w:tr>
      <w:tr>
        <w:trPr>
          <w:tblHeader w:val="false"/>
        </w:trPr>
        <w:tc>
          <w:tcPr>
            <w:tcW w:type="dxa" w:w="2575"/>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Piege de la dependance</w:t>
            </w:r>
          </w:p>
        </w:tc>
        <w:tc>
          <w:tcPr>
            <w:tcW w:type="dxa" w:w="356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Accepter de regler la machine a la place du regleur malade. Etre operationnel = etre utile.</w:t>
            </w:r>
          </w:p>
        </w:tc>
        <w:tc>
          <w:tcPr>
            <w:tcW w:type="dxa" w:w="3765"/>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Refus ferme mais constructif. Formation acceleree d un operateur junior. Le consultant reste coach, pas operateur.</w:t>
            </w:r>
          </w:p>
        </w:tc>
      </w:tr>
      <w:tr>
        <w:trPr>
          <w:tblHeader w:val="false"/>
        </w:trPr>
        <w:tc>
          <w:tcPr>
            <w:tcW w:type="dxa" w:w="2575"/>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Piege de la perfection</w:t>
            </w:r>
          </w:p>
        </w:tc>
        <w:tc>
          <w:tcPr>
            <w:tcW w:type="dxa" w:w="356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Attendre un nouveau capteur de temperature pour avoir des donnees parfaites avant d agir.</w:t>
            </w:r>
          </w:p>
        </w:tc>
        <w:tc>
          <w:tcPr>
            <w:tcW w:type="dxa" w:w="3765"/>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Decision d agir avec les donnees suffisamment bonnes. 80% de precision suffit pour prendre les bonnes decisions.</w:t>
            </w:r>
          </w:p>
        </w:tc>
      </w:tr>
      <w:tr>
        <w:trPr>
          <w:tblHeader w:val="false"/>
        </w:trPr>
        <w:tc>
          <w:tcPr>
            <w:tcW w:type="dxa" w:w="2575"/>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Piege de communication</w:t>
            </w:r>
          </w:p>
        </w:tc>
        <w:tc>
          <w:tcPr>
            <w:tcW w:type="dxa" w:w="356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Presenter les resultats en CpK 1.33 aux operateurs et managers non statisticiens.</w:t>
            </w:r>
          </w:p>
        </w:tc>
        <w:tc>
          <w:tcPr>
            <w:tcW w:type="dxa" w:w="3765"/>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Traduction systematique : CpK 1.33 = moins de poubelles a vider chaque matin. Le concret prime sur le theorique.</w:t>
            </w:r>
          </w:p>
        </w:tc>
      </w:tr>
    </w:tbl>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2C7873" w:sz="10"/>
              <w:bottom w:val="none" w:sz="0" w:space="0" w:color="auto"/>
              <w:right w:val="none" w:sz="0" w:space="0" w:color="auto"/>
            </w:tcBorders>
            <w:shd w:fill="EBF5F5"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2C7873"/>
                <w:sz w:val="19"/>
                <w:szCs w:val="19"/>
              </w:rPr>
              <w:t xml:space="preserve">CONSEIL DU CONSULTANT :  </w:t>
            </w:r>
            <w:r>
              <w:rPr>
                <w:rFonts w:ascii="Calibri" w:cs="Calibri" w:eastAsia="Calibri" w:hAnsi="Calibri"/>
                <w:b w:val="false"/>
                <w:bCs w:val="false"/>
                <w:i w:val="false"/>
                <w:iCs w:val="false"/>
                <w:color w:val="4A5568"/>
                <w:sz w:val="18"/>
                <w:szCs w:val="18"/>
              </w:rPr>
              <w:t xml:space="preserve">La regle d or : le consultant ne doit jamais se substituer aux equipes internes, meme sous pression. S il remplace le regleur, il cree une dependance. En formant a la place, il cree de l autonomie. C est cette autonomie qui garantit la perennite des gains apres son depart.</w:t>
            </w:r>
          </w:p>
        </w:tc>
      </w:tr>
    </w:tbl>
    <w:p>
      <w:pPr>
        <w:spacing w:before="24" w:after="2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2E6DA4"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8</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Standardisation et ancrage des pratiques  (Chapitres 6 et 12)</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Une amelioration non standardisee est une amelioration temporaire. La standardisation est la phase qui separe les projets qui tiennent dans le temps de ceux qui retombent des le depart du consultant.</w:t>
      </w:r>
    </w:p>
    <w:p>
      <w:pPr>
        <w:spacing w:before="10" w:after="8"/>
      </w:pPr>
    </w:p>
    <w:p>
      <w:pPr>
        <w:spacing w:before="40" w:after="40"/>
        <w:ind w:left="200"/>
        <w:jc w:val="left"/>
      </w:pPr>
      <w:r>
        <w:rPr>
          <w:rFonts w:ascii="Calibri" w:cs="Calibri" w:eastAsia="Calibri" w:hAnsi="Calibri"/>
          <w:b w:val="false"/>
          <w:bCs w:val="false"/>
          <w:i w:val="false"/>
          <w:iCs w:val="false"/>
          <w:color w:val="4A5568"/>
          <w:sz w:val="20"/>
          <w:szCs w:val="20"/>
        </w:rPr>
        <w:t xml:space="preserve">•  One Point Lessons visuelles creees pour le prechauffage (photos etape par etape, gamme A4 plastifiee)</w:t>
      </w:r>
    </w:p>
    <w:p>
      <w:pPr>
        <w:spacing w:before="40" w:after="40"/>
        <w:ind w:left="200"/>
        <w:jc w:val="left"/>
      </w:pPr>
      <w:r>
        <w:rPr>
          <w:rFonts w:ascii="Calibri" w:cs="Calibri" w:eastAsia="Calibri" w:hAnsi="Calibri"/>
          <w:b w:val="false"/>
          <w:bCs w:val="false"/>
          <w:i w:val="false"/>
          <w:iCs w:val="false"/>
          <w:color w:val="4A5568"/>
          <w:sz w:val="20"/>
          <w:szCs w:val="20"/>
        </w:rPr>
        <w:t xml:space="preserve">•  Gamme de reglage de la scie avec valeurs cibles validees par les 3 regleurs (consensus terrain)</w:t>
      </w:r>
    </w:p>
    <w:p>
      <w:pPr>
        <w:spacing w:before="40" w:after="40"/>
        <w:ind w:left="200"/>
        <w:jc w:val="left"/>
      </w:pPr>
      <w:r>
        <w:rPr>
          <w:rFonts w:ascii="Calibri" w:cs="Calibri" w:eastAsia="Calibri" w:hAnsi="Calibri"/>
          <w:b w:val="false"/>
          <w:bCs w:val="false"/>
          <w:i w:val="false"/>
          <w:iCs w:val="false"/>
          <w:color w:val="4A5568"/>
          <w:sz w:val="20"/>
          <w:szCs w:val="20"/>
        </w:rPr>
        <w:t xml:space="preserve">•  Audit 5S hebdomadaire programme : grille de notation, responsable designe, affichage des scores</w:t>
      </w:r>
    </w:p>
    <w:p>
      <w:pPr>
        <w:spacing w:before="40" w:after="40"/>
        <w:ind w:left="200"/>
        <w:jc w:val="left"/>
      </w:pPr>
      <w:r>
        <w:rPr>
          <w:rFonts w:ascii="Calibri" w:cs="Calibri" w:eastAsia="Calibri" w:hAnsi="Calibri"/>
          <w:b w:val="false"/>
          <w:bCs w:val="false"/>
          <w:i w:val="false"/>
          <w:iCs w:val="false"/>
          <w:color w:val="4A5568"/>
          <w:sz w:val="20"/>
          <w:szCs w:val="20"/>
        </w:rPr>
        <w:t xml:space="preserve">•  Formation croisee : chaque regleur forme son collegue sur les nouveaux standards</w:t>
      </w:r>
    </w:p>
    <w:p>
      <w:pPr>
        <w:spacing w:before="10" w:after="8"/>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2D7D46" w:sz="10"/>
              <w:bottom w:val="none" w:sz="0" w:space="0" w:color="auto"/>
              <w:right w:val="none" w:sz="0" w:space="0" w:color="auto"/>
            </w:tcBorders>
            <w:shd w:fill="EBF5EB"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2D7D46"/>
                <w:sz w:val="19"/>
                <w:szCs w:val="19"/>
              </w:rPr>
              <w:t xml:space="preserve">RESULTAT :  </w:t>
            </w:r>
            <w:r>
              <w:rPr>
                <w:rFonts w:ascii="Calibri" w:cs="Calibri" w:eastAsia="Calibri" w:hAnsi="Calibri"/>
                <w:b w:val="false"/>
                <w:bCs w:val="false"/>
                <w:i w:val="false"/>
                <w:iCs w:val="false"/>
                <w:color w:val="4A5568"/>
                <w:sz w:val="18"/>
                <w:szCs w:val="18"/>
              </w:rPr>
              <w:t xml:space="preserve">Toutes les fiches standards sont affichees sur les postes de travail. Les operateurs ont signe les fiches de formation. Le chef d equipe est designé auditeur 5S interne. L autonomie est en place.</w:t>
            </w:r>
          </w:p>
        </w:tc>
      </w:tr>
    </w:tbl>
    <w:p>
      <w:pPr>
        <w:spacing w:before="0" w:after="0"/>
      </w:pPr>
      <w:r>
        <w:br w:type="page"/>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594"/>
        <w:gridCol w:w="9312"/>
      </w:tblGrid>
      <w:tr>
        <w:trPr>
          <w:tblHeader w:val="false"/>
        </w:trPr>
        <w:tc>
          <w:tcPr>
            <w:tcW w:type="dxa" w:w="594"/>
            <w:tcBorders>
              <w:top w:val="none" w:color="FFFFFF" w:sz="0"/>
              <w:left w:val="none" w:color="FFFFFF" w:sz="0"/>
              <w:bottom w:val="none" w:color="FFFFFF" w:sz="0"/>
              <w:right w:val="none" w:color="FFFFFF" w:sz="0"/>
            </w:tcBorders>
            <w:shd w:fill="2D7D46" w:color="auto" w:val="clear"/>
            <w:tcMar>
              <w:top w:type="dxa" w:w="50"/>
              <w:left w:type="dxa" w:w="40"/>
              <w:bottom w:type="dxa" w:w="50"/>
              <w:right w:type="dxa" w:w="40"/>
            </w:tcMar>
            <w:vAlign w:val="top"/>
          </w:tcPr>
          <w:p>
            <w:pPr>
              <w:spacing w:before="60" w:after="60"/>
              <w:jc w:val="center"/>
            </w:pPr>
            <w:r>
              <w:rPr>
                <w:rFonts w:ascii="Calibri" w:cs="Calibri" w:eastAsia="Calibri" w:hAnsi="Calibri"/>
                <w:b/>
                <w:bCs/>
                <w:i w:val="false"/>
                <w:iCs w:val="false"/>
                <w:color w:val="FFFFFF"/>
                <w:sz w:val="22"/>
                <w:szCs w:val="22"/>
              </w:rPr>
              <w:t xml:space="preserve">PHASE 4</w:t>
            </w:r>
          </w:p>
        </w:tc>
        <w:tc>
          <w:tcPr>
            <w:tcW w:type="dxa" w:w="9312"/>
            <w:tcBorders>
              <w:top w:val="none" w:sz="0" w:space="0" w:color="auto"/>
              <w:left w:val="single" w:color="2D7D46" w:sz="10"/>
              <w:bottom w:val="none" w:sz="0" w:space="0" w:color="auto"/>
              <w:right w:val="none" w:sz="0" w:space="0" w:color="auto"/>
            </w:tcBorders>
            <w:shd w:fill="F4F6F9" w:color="auto" w:val="clear"/>
            <w:tcMar>
              <w:top w:type="dxa" w:w="50"/>
              <w:left w:type="dxa" w:w="140"/>
              <w:bottom w:type="dxa" w:w="50"/>
              <w:right w:type="dxa" w:w="80"/>
            </w:tcMar>
            <w:vAlign w:val="top"/>
          </w:tcPr>
          <w:p>
            <w:pPr>
              <w:spacing w:before="60" w:after="60"/>
              <w:jc w:val="left"/>
            </w:pPr>
            <w:r>
              <w:rPr>
                <w:rFonts w:ascii="Calibri" w:cs="Calibri" w:eastAsia="Calibri" w:hAnsi="Calibri"/>
                <w:b/>
                <w:bCs/>
                <w:i w:val="false"/>
                <w:iCs w:val="false"/>
                <w:color w:val="2D7D46"/>
                <w:sz w:val="22"/>
                <w:szCs w:val="22"/>
              </w:rPr>
              <w:t xml:space="preserve">CLOTURE ET RAPPORT FINAL  (Chapitres 10 et 11)</w:t>
            </w:r>
          </w:p>
        </w:tc>
      </w:tr>
    </w:tbl>
    <w:p>
      <w:pPr>
        <w:spacing w:before="30" w:after="24"/>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2D7D46"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9</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Mesure des resultats et calcul du ROI  (Chapitre 10)</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La mesure des gains est realisee en collaboration avec le Controleur de Gestion. La methodologie de calcul est definie en amont pour eviter tout desaccord en fin de mission. Le CDG doit valider chaque ligne de gain avant signature.</w:t>
      </w:r>
    </w:p>
    <w:p>
      <w:pPr>
        <w:spacing w:before="10" w:after="8"/>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3566"/>
        <w:gridCol w:w="2179"/>
        <w:gridCol w:w="2179"/>
        <w:gridCol w:w="1982"/>
      </w:tblGrid>
      <w:tr>
        <w:trPr>
          <w:tblHeader/>
        </w:trPr>
        <w:tc>
          <w:tcPr>
            <w:tcW w:type="dxa" w:w="3566"/>
            <w:tcBorders>
              <w:top w:val="single" w:color="FFFFFF" w:sz="4"/>
              <w:left w:val="single" w:color="FFFFFF" w:sz="4"/>
              <w:bottom w:val="single" w:color="FFFFFF" w:sz="4"/>
              <w:right w:val="single" w:color="FFFFFF" w:sz="4"/>
            </w:tcBorders>
            <w:shd w:fill="2D7D46"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CATEGORIE DE GAIN</w:t>
            </w:r>
          </w:p>
        </w:tc>
        <w:tc>
          <w:tcPr>
            <w:tcW w:type="dxa" w:w="2179"/>
            <w:tcBorders>
              <w:top w:val="single" w:color="FFFFFF" w:sz="4"/>
              <w:left w:val="single" w:color="FFFFFF" w:sz="4"/>
              <w:bottom w:val="single" w:color="FFFFFF" w:sz="4"/>
              <w:right w:val="single" w:color="FFFFFF" w:sz="4"/>
            </w:tcBorders>
            <w:shd w:fill="2D7D46"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CALCUL</w:t>
            </w:r>
          </w:p>
        </w:tc>
        <w:tc>
          <w:tcPr>
            <w:tcW w:type="dxa" w:w="2179"/>
            <w:tcBorders>
              <w:top w:val="single" w:color="FFFFFF" w:sz="4"/>
              <w:left w:val="single" w:color="FFFFFF" w:sz="4"/>
              <w:bottom w:val="single" w:color="FFFFFF" w:sz="4"/>
              <w:right w:val="single" w:color="FFFFFF" w:sz="4"/>
            </w:tcBorders>
            <w:shd w:fill="2D7D46"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MONTANT ANNUEL</w:t>
            </w:r>
          </w:p>
        </w:tc>
        <w:tc>
          <w:tcPr>
            <w:tcW w:type="dxa" w:w="1982"/>
            <w:tcBorders>
              <w:top w:val="single" w:color="FFFFFF" w:sz="4"/>
              <w:left w:val="single" w:color="FFFFFF" w:sz="4"/>
              <w:bottom w:val="single" w:color="FFFFFF" w:sz="4"/>
              <w:right w:val="single" w:color="FFFFFF" w:sz="4"/>
            </w:tcBorders>
            <w:shd w:fill="2D7D46"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VALIDATION</w:t>
            </w:r>
          </w:p>
        </w:tc>
      </w:tr>
      <w:tr>
        <w:trPr>
          <w:tblHeader w:val="false"/>
        </w:trPr>
        <w:tc>
          <w:tcPr>
            <w:tcW w:type="dxa" w:w="356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Reduction rebuts PVC (-3%)</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3% x production annuelle x prix PVC</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80 000 euros/an</w:t>
            </w:r>
          </w:p>
        </w:tc>
        <w:tc>
          <w:tcPr>
            <w:tcW w:type="dxa" w:w="1982"/>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CDG signe</w:t>
            </w:r>
          </w:p>
        </w:tc>
      </w:tr>
      <w:tr>
        <w:trPr>
          <w:tblHeader w:val="false"/>
        </w:trPr>
        <w:tc>
          <w:tcPr>
            <w:tcW w:type="dxa" w:w="356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Gain productivite (SMED)</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20 min x 5 changements/semaine x 50 semaines x cout horaire</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70 000 euros/an</w:t>
            </w:r>
          </w:p>
        </w:tc>
        <w:tc>
          <w:tcPr>
            <w:tcW w:type="dxa" w:w="1982"/>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CDG signe</w:t>
            </w:r>
          </w:p>
        </w:tc>
      </w:tr>
      <w:tr>
        <w:trPr>
          <w:tblHeader w:val="false"/>
        </w:trPr>
        <w:tc>
          <w:tcPr>
            <w:tcW w:type="dxa" w:w="356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TOTAL GAINS HARD SAVINGS</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80 000 + 70 000</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150 000 euros/an</w:t>
            </w:r>
          </w:p>
        </w:tc>
        <w:tc>
          <w:tcPr>
            <w:tcW w:type="dxa" w:w="1982"/>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Valide CDG</w:t>
            </w:r>
          </w:p>
        </w:tc>
      </w:tr>
      <w:tr>
        <w:trPr>
          <w:tblHeader w:val="false"/>
        </w:trPr>
        <w:tc>
          <w:tcPr>
            <w:tcW w:type="dxa" w:w="356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Cout total de la mission</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Honoraires + frais + couts internes client</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50 000 euros</w:t>
            </w:r>
          </w:p>
        </w:tc>
        <w:tc>
          <w:tcPr>
            <w:tcW w:type="dxa" w:w="1982"/>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w:t>
            </w:r>
          </w:p>
        </w:tc>
      </w:tr>
      <w:tr>
        <w:trPr>
          <w:tblHeader w:val="false"/>
        </w:trPr>
        <w:tc>
          <w:tcPr>
            <w:tcW w:type="dxa" w:w="356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ROI NET (Gain - Cout) / Cout</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(150 000 - 50 000) / 50 000 x 100</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200%</w:t>
            </w:r>
          </w:p>
        </w:tc>
        <w:tc>
          <w:tcPr>
            <w:tcW w:type="dxa" w:w="1982"/>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PV signe</w:t>
            </w:r>
          </w:p>
        </w:tc>
      </w:tr>
      <w:tr>
        <w:trPr>
          <w:tblHeader w:val="false"/>
        </w:trPr>
        <w:tc>
          <w:tcPr>
            <w:tcW w:type="dxa" w:w="356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Payback de la mission</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50 000 / (150 000 / 12 mois)</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4 mois</w:t>
            </w:r>
          </w:p>
        </w:tc>
        <w:tc>
          <w:tcPr>
            <w:tcW w:type="dxa" w:w="1982"/>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w:t>
            </w:r>
          </w:p>
        </w:tc>
      </w:tr>
    </w:tbl>
    <w:p>
      <w:pPr>
        <w:spacing w:before="24" w:after="2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2D7D46"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10</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Rapport de mission et presentation au CODIR  (Chapitre 11)</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Le Rapport Final (Outil 11.1) est structure pour un double usage : un document complet pour le dossier technique et un Executive Summary d une page pour la direction generale.</w:t>
      </w:r>
    </w:p>
    <w:p>
      <w:pPr>
        <w:spacing w:before="10" w:after="8"/>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476"/>
        <w:gridCol w:w="7430"/>
      </w:tblGrid>
      <w:tr>
        <w:trPr>
          <w:tblHeader/>
        </w:trPr>
        <w:tc>
          <w:tcPr>
            <w:tcW w:type="dxa" w:w="2476"/>
            <w:tcBorders>
              <w:top w:val="single" w:color="FFFFFF" w:sz="4"/>
              <w:left w:val="single" w:color="FFFFFF" w:sz="4"/>
              <w:bottom w:val="single" w:color="FFFFFF" w:sz="4"/>
              <w:right w:val="single" w:color="FFFFFF" w:sz="4"/>
            </w:tcBorders>
            <w:shd w:fill="1B3A5C"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SECTION DU RAPPORT</w:t>
            </w:r>
          </w:p>
        </w:tc>
        <w:tc>
          <w:tcPr>
            <w:tcW w:type="dxa" w:w="7430"/>
            <w:tcBorders>
              <w:top w:val="single" w:color="FFFFFF" w:sz="4"/>
              <w:left w:val="single" w:color="FFFFFF" w:sz="4"/>
              <w:bottom w:val="single" w:color="FFFFFF" w:sz="4"/>
              <w:right w:val="single" w:color="FFFFFF" w:sz="4"/>
            </w:tcBorders>
            <w:shd w:fill="1B3A5C"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CONTENU ET OBJECTIF</w:t>
            </w:r>
          </w:p>
        </w:tc>
      </w:tr>
      <w:tr>
        <w:trPr>
          <w:tblHeader w:val="false"/>
        </w:trPr>
        <w:tc>
          <w:tcPr>
            <w:tcW w:type="dxa" w:w="247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Executive Summary (1 page)</w:t>
            </w:r>
          </w:p>
        </w:tc>
        <w:tc>
          <w:tcPr>
            <w:tcW w:type="dxa" w:w="7430"/>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ROI de 200%, gains de 150 000 euros/an, synthese des 3 actions cles. C est la seule page que le PDG lira.</w:t>
            </w:r>
          </w:p>
        </w:tc>
      </w:tr>
      <w:tr>
        <w:trPr>
          <w:tblHeader w:val="false"/>
        </w:trPr>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Contexte et diagnostic</w:t>
            </w:r>
          </w:p>
        </w:tc>
        <w:tc>
          <w:tcPr>
            <w:tcW w:type="dxa" w:w="7430"/>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Reformulation du probleme initial, baseline chiffree, VSM avant/apres.</w:t>
            </w:r>
          </w:p>
        </w:tc>
      </w:tr>
      <w:tr>
        <w:trPr>
          <w:tblHeader w:val="false"/>
        </w:trPr>
        <w:tc>
          <w:tcPr>
            <w:tcW w:type="dxa" w:w="247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Resultats par action</w:t>
            </w:r>
          </w:p>
        </w:tc>
        <w:tc>
          <w:tcPr>
            <w:tcW w:type="dxa" w:w="7430"/>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Photos Avant/Apres des chariots SMED, graphiques de stabilite temperature, courbe de rebuts.</w:t>
            </w:r>
          </w:p>
        </w:tc>
      </w:tr>
      <w:tr>
        <w:trPr>
          <w:tblHeader w:val="false"/>
        </w:trPr>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Temoignage terrain</w:t>
            </w:r>
          </w:p>
        </w:tc>
        <w:tc>
          <w:tcPr>
            <w:tcW w:type="dxa" w:w="7430"/>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Citation du Chef d atelier : ce qui change concrètement au quotidien pour ses equipes.</w:t>
            </w:r>
          </w:p>
        </w:tc>
      </w:tr>
      <w:tr>
        <w:trPr>
          <w:tblHeader w:val="false"/>
        </w:trPr>
        <w:tc>
          <w:tcPr>
            <w:tcW w:type="dxa" w:w="247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Recommandations strategiques</w:t>
            </w:r>
          </w:p>
        </w:tc>
        <w:tc>
          <w:tcPr>
            <w:tcW w:type="dxa" w:w="7430"/>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Extension du SMED a la Ligne 4 : estimation 120 000 euros/an de gains supplementaires.</w:t>
            </w:r>
          </w:p>
        </w:tc>
      </w:tr>
      <w:tr>
        <w:trPr>
          <w:tblHeader w:val="false"/>
        </w:trPr>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Annexes techniques</w:t>
            </w:r>
          </w:p>
        </w:tc>
        <w:tc>
          <w:tcPr>
            <w:tcW w:type="dxa" w:w="7430"/>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Fiches SMED, gammes de reglage, grilles d audit 5S, donnees brutes.</w:t>
            </w:r>
          </w:p>
        </w:tc>
      </w:tr>
    </w:tbl>
    <w:p>
      <w:pPr>
        <w:spacing w:before="0" w:after="0"/>
      </w:pPr>
      <w:r>
        <w:br w:type="page"/>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594"/>
        <w:gridCol w:w="9312"/>
      </w:tblGrid>
      <w:tr>
        <w:trPr>
          <w:tblHeader w:val="false"/>
        </w:trPr>
        <w:tc>
          <w:tcPr>
            <w:tcW w:type="dxa" w:w="594"/>
            <w:tcBorders>
              <w:top w:val="none" w:color="FFFFFF" w:sz="0"/>
              <w:left w:val="none" w:color="FFFFFF" w:sz="0"/>
              <w:bottom w:val="none" w:color="FFFFFF" w:sz="0"/>
              <w:right w:val="none" w:color="FFFFFF" w:sz="0"/>
            </w:tcBorders>
            <w:shd w:fill="2C7873" w:color="auto" w:val="clear"/>
            <w:tcMar>
              <w:top w:type="dxa" w:w="50"/>
              <w:left w:type="dxa" w:w="40"/>
              <w:bottom w:type="dxa" w:w="50"/>
              <w:right w:type="dxa" w:w="40"/>
            </w:tcMar>
            <w:vAlign w:val="top"/>
          </w:tcPr>
          <w:p>
            <w:pPr>
              <w:spacing w:before="60" w:after="60"/>
              <w:jc w:val="center"/>
            </w:pPr>
            <w:r>
              <w:rPr>
                <w:rFonts w:ascii="Calibri" w:cs="Calibri" w:eastAsia="Calibri" w:hAnsi="Calibri"/>
                <w:b/>
                <w:bCs/>
                <w:i w:val="false"/>
                <w:iCs w:val="false"/>
                <w:color w:val="FFFFFF"/>
                <w:sz w:val="22"/>
                <w:szCs w:val="22"/>
              </w:rPr>
              <w:t xml:space="preserve">PHASE 5</w:t>
            </w:r>
          </w:p>
        </w:tc>
        <w:tc>
          <w:tcPr>
            <w:tcW w:type="dxa" w:w="9312"/>
            <w:tcBorders>
              <w:top w:val="none" w:sz="0" w:space="0" w:color="auto"/>
              <w:left w:val="single" w:color="2C7873" w:sz="10"/>
              <w:bottom w:val="none" w:sz="0" w:space="0" w:color="auto"/>
              <w:right w:val="none" w:sz="0" w:space="0" w:color="auto"/>
            </w:tcBorders>
            <w:shd w:fill="F4F6F9" w:color="auto" w:val="clear"/>
            <w:tcMar>
              <w:top w:type="dxa" w:w="50"/>
              <w:left w:type="dxa" w:w="140"/>
              <w:bottom w:type="dxa" w:w="50"/>
              <w:right w:type="dxa" w:w="80"/>
            </w:tcMar>
            <w:vAlign w:val="top"/>
          </w:tcPr>
          <w:p>
            <w:pPr>
              <w:spacing w:before="60" w:after="60"/>
              <w:jc w:val="left"/>
            </w:pPr>
            <w:r>
              <w:rPr>
                <w:rFonts w:ascii="Calibri" w:cs="Calibri" w:eastAsia="Calibri" w:hAnsi="Calibri"/>
                <w:b/>
                <w:bCs/>
                <w:i w:val="false"/>
                <w:iCs w:val="false"/>
                <w:color w:val="2C7873"/>
                <w:sz w:val="22"/>
                <w:szCs w:val="22"/>
              </w:rPr>
              <w:t xml:space="preserve">PERENNISATION ET ACCOMPAGNEMENT POST-MISSION  (Chapitres 12 et 13)</w:t>
            </w:r>
          </w:p>
        </w:tc>
      </w:tr>
    </w:tbl>
    <w:p>
      <w:pPr>
        <w:spacing w:before="30" w:after="24"/>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2C7873"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11</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Transfert de competences et formation des relais  (Chapitre 12)</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La perennisation des gains repose sur la capacite de l organisation a fonctionner sans le consultant. Ce transfert doit etre prepare des la Phase 2, pas improvise en fin de mission.</w:t>
      </w:r>
    </w:p>
    <w:p>
      <w:pPr>
        <w:spacing w:before="10" w:after="8"/>
      </w:pPr>
    </w:p>
    <w:p>
      <w:pPr>
        <w:spacing w:before="40" w:after="40"/>
        <w:ind w:left="200"/>
        <w:jc w:val="left"/>
      </w:pPr>
      <w:r>
        <w:rPr>
          <w:rFonts w:ascii="Calibri" w:cs="Calibri" w:eastAsia="Calibri" w:hAnsi="Calibri"/>
          <w:b w:val="false"/>
          <w:bCs w:val="false"/>
          <w:i w:val="false"/>
          <w:iCs w:val="false"/>
          <w:color w:val="4A5568"/>
          <w:sz w:val="20"/>
          <w:szCs w:val="20"/>
        </w:rPr>
        <w:t xml:space="preserve">•  Deux operateurs certifies Auditeurs 5S Internes (formation en 2 demi-journees + audit supervise)</w:t>
      </w:r>
    </w:p>
    <w:p>
      <w:pPr>
        <w:spacing w:before="40" w:after="40"/>
        <w:ind w:left="200"/>
        <w:jc w:val="left"/>
      </w:pPr>
      <w:r>
        <w:rPr>
          <w:rFonts w:ascii="Calibri" w:cs="Calibri" w:eastAsia="Calibri" w:hAnsi="Calibri"/>
          <w:b w:val="false"/>
          <w:bCs w:val="false"/>
          <w:i w:val="false"/>
          <w:iCs w:val="false"/>
          <w:color w:val="4A5568"/>
          <w:sz w:val="20"/>
          <w:szCs w:val="20"/>
        </w:rPr>
        <w:t xml:space="preserve">•  Chaque auditeur realise un audit complet seul, sans le consultant, avant la validation finale</w:t>
      </w:r>
    </w:p>
    <w:p>
      <w:pPr>
        <w:spacing w:before="40" w:after="40"/>
        <w:ind w:left="200"/>
        <w:jc w:val="left"/>
      </w:pPr>
      <w:r>
        <w:rPr>
          <w:rFonts w:ascii="Calibri" w:cs="Calibri" w:eastAsia="Calibri" w:hAnsi="Calibri"/>
          <w:b w:val="false"/>
          <w:bCs w:val="false"/>
          <w:i w:val="false"/>
          <w:iCs w:val="false"/>
          <w:color w:val="4A5568"/>
          <w:sz w:val="20"/>
          <w:szCs w:val="20"/>
        </w:rPr>
        <w:t xml:space="preserve">•  Le Plan de Transfert de Competences (Outil 12.2) definit : qui, quoi, quand, comment verifier</w:t>
      </w:r>
    </w:p>
    <w:p>
      <w:pPr>
        <w:spacing w:before="40" w:after="40"/>
        <w:ind w:left="200"/>
        <w:jc w:val="left"/>
      </w:pPr>
      <w:r>
        <w:rPr>
          <w:rFonts w:ascii="Calibri" w:cs="Calibri" w:eastAsia="Calibri" w:hAnsi="Calibri"/>
          <w:b w:val="false"/>
          <w:bCs w:val="false"/>
          <w:i w:val="false"/>
          <w:iCs w:val="false"/>
          <w:color w:val="4A5568"/>
          <w:sz w:val="20"/>
          <w:szCs w:val="20"/>
        </w:rPr>
        <w:t xml:space="preserve">•  Le Chef de Ligne anime lui-meme la reunion de suivi du dernier mois (consultant en retrait)</w:t>
      </w:r>
    </w:p>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2D7D46" w:sz="10"/>
              <w:bottom w:val="none" w:sz="0" w:space="0" w:color="auto"/>
              <w:right w:val="none" w:sz="0" w:space="0" w:color="auto"/>
            </w:tcBorders>
            <w:shd w:fill="EBF5EB"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2D7D46"/>
                <w:sz w:val="19"/>
                <w:szCs w:val="19"/>
              </w:rPr>
              <w:t xml:space="preserve">RESULTAT :  </w:t>
            </w:r>
            <w:r>
              <w:rPr>
                <w:rFonts w:ascii="Calibri" w:cs="Calibri" w:eastAsia="Calibri" w:hAnsi="Calibri"/>
                <w:b w:val="false"/>
                <w:bCs w:val="false"/>
                <w:i w:val="false"/>
                <w:iCs w:val="false"/>
                <w:color w:val="4A5568"/>
                <w:sz w:val="18"/>
                <w:szCs w:val="18"/>
              </w:rPr>
              <w:t xml:space="preserve">Les deux relais ont realise leur premier audit complet de facon autonome, sans intervention du consultant. Le score 5S est stable a 3.8/5. L autonomie est atteinte avant la cloture officielle.</w:t>
            </w:r>
          </w:p>
        </w:tc>
      </w:tr>
    </w:tbl>
    <w:p>
      <w:pPr>
        <w:spacing w:before="24" w:after="2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2179"/>
        <w:gridCol w:w="7727"/>
      </w:tblGrid>
      <w:tr>
        <w:trPr>
          <w:tblHeader w:val="false"/>
        </w:trPr>
        <w:tc>
          <w:tcPr>
            <w:tcW w:type="dxa" w:w="2179"/>
            <w:tcBorders>
              <w:top w:val="none" w:color="FFFFFF" w:sz="0"/>
              <w:left w:val="none" w:color="FFFFFF" w:sz="0"/>
              <w:bottom w:val="none" w:color="FFFFFF" w:sz="0"/>
              <w:right w:val="none" w:color="FFFFFF" w:sz="0"/>
            </w:tcBorders>
            <w:shd w:fill="2C7873" w:color="auto" w:val="clear"/>
            <w:tcMar>
              <w:top w:type="dxa" w:w="40"/>
              <w:left w:type="dxa" w:w="60"/>
              <w:bottom w:type="dxa" w:w="40"/>
              <w:right w:type="dxa" w:w="60"/>
            </w:tcMar>
            <w:vAlign w:val="top"/>
          </w:tcPr>
          <w:p>
            <w:pPr>
              <w:spacing w:before="50" w:after="50"/>
              <w:jc w:val="center"/>
            </w:pPr>
            <w:r>
              <w:rPr>
                <w:rFonts w:ascii="Calibri" w:cs="Calibri" w:eastAsia="Calibri" w:hAnsi="Calibri"/>
                <w:b/>
                <w:bCs/>
                <w:i w:val="false"/>
                <w:iCs w:val="false"/>
                <w:color w:val="FFFFFF"/>
                <w:sz w:val="18"/>
                <w:szCs w:val="18"/>
              </w:rPr>
              <w:t xml:space="preserve">ETAPE 12</w:t>
            </w:r>
          </w:p>
        </w:tc>
        <w:tc>
          <w:tcPr>
            <w:tcW w:type="dxa" w:w="7727"/>
            <w:tcBorders>
              <w:top w:val="none" w:color="FFFFFF" w:sz="0"/>
              <w:left w:val="none" w:color="FFFFFF" w:sz="0"/>
              <w:bottom w:val="none" w:color="FFFFFF" w:sz="0"/>
              <w:right w:val="none" w:color="FFFFFF" w:sz="0"/>
            </w:tcBorders>
            <w:shd w:fill="1B3A5C" w:color="auto" w:val="clear"/>
            <w:tcMar>
              <w:top w:type="dxa" w:w="40"/>
              <w:left w:type="dxa" w:w="120"/>
              <w:bottom w:type="dxa" w:w="40"/>
              <w:right w:type="dxa" w:w="80"/>
            </w:tcMar>
            <w:vAlign w:val="top"/>
          </w:tcPr>
          <w:p>
            <w:pPr>
              <w:spacing w:before="50" w:after="50"/>
              <w:jc w:val="left"/>
            </w:pPr>
            <w:r>
              <w:rPr>
                <w:rFonts w:ascii="Calibri" w:cs="Calibri" w:eastAsia="Calibri" w:hAnsi="Calibri"/>
                <w:b/>
                <w:bCs/>
                <w:i w:val="false"/>
                <w:iCs w:val="false"/>
                <w:color w:val="FFFFFF"/>
                <w:sz w:val="18"/>
                <w:szCs w:val="18"/>
              </w:rPr>
              <w:t xml:space="preserve">Accompagnement post-mission et suivi des KPI  (Chapitre 13)</w:t>
            </w:r>
          </w:p>
        </w:tc>
      </w:tr>
    </w:tbl>
    <w:p>
      <w:pPr>
        <w:spacing w:before="16" w:after="12"/>
      </w:pPr>
    </w:p>
    <w:p>
      <w:pPr>
        <w:spacing w:before="70" w:after="70"/>
        <w:jc w:val="both"/>
      </w:pPr>
      <w:r>
        <w:rPr>
          <w:rFonts w:ascii="Calibri" w:cs="Calibri" w:eastAsia="Calibri" w:hAnsi="Calibri"/>
          <w:b w:val="false"/>
          <w:bCs w:val="false"/>
          <w:i w:val="false"/>
          <w:iCs w:val="false"/>
          <w:color w:val="4A5568"/>
          <w:sz w:val="21"/>
          <w:szCs w:val="21"/>
        </w:rPr>
        <w:t xml:space="preserve">L accompagnement post-mission est contractualise et limite dans le temps. Il ne doit pas devenir un prolongement de la mission ni creer une dependance. La regle : 2 jours factures maximum, en J+30 et J+90.</w:t>
      </w:r>
    </w:p>
    <w:p>
      <w:pPr>
        <w:spacing w:before="10" w:after="8"/>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1485"/>
        <w:gridCol w:w="2476"/>
        <w:gridCol w:w="2476"/>
        <w:gridCol w:w="3469"/>
      </w:tblGrid>
      <w:tr>
        <w:trPr>
          <w:tblHeader/>
        </w:trPr>
        <w:tc>
          <w:tcPr>
            <w:tcW w:type="dxa" w:w="1485"/>
            <w:tcBorders>
              <w:top w:val="single" w:color="FFFFFF" w:sz="4"/>
              <w:left w:val="single" w:color="FFFFFF" w:sz="4"/>
              <w:bottom w:val="single" w:color="FFFFFF" w:sz="4"/>
              <w:right w:val="single" w:color="FFFFFF" w:sz="4"/>
            </w:tcBorders>
            <w:shd w:fill="2C7873"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ECHEANCE</w:t>
            </w:r>
          </w:p>
        </w:tc>
        <w:tc>
          <w:tcPr>
            <w:tcW w:type="dxa" w:w="2476"/>
            <w:tcBorders>
              <w:top w:val="single" w:color="FFFFFF" w:sz="4"/>
              <w:left w:val="single" w:color="FFFFFF" w:sz="4"/>
              <w:bottom w:val="single" w:color="FFFFFF" w:sz="4"/>
              <w:right w:val="single" w:color="FFFFFF" w:sz="4"/>
            </w:tcBorders>
            <w:shd w:fill="2C7873"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ACTION</w:t>
            </w:r>
          </w:p>
        </w:tc>
        <w:tc>
          <w:tcPr>
            <w:tcW w:type="dxa" w:w="2476"/>
            <w:tcBorders>
              <w:top w:val="single" w:color="FFFFFF" w:sz="4"/>
              <w:left w:val="single" w:color="FFFFFF" w:sz="4"/>
              <w:bottom w:val="single" w:color="FFFFFF" w:sz="4"/>
              <w:right w:val="single" w:color="FFFFFF" w:sz="4"/>
            </w:tcBorders>
            <w:shd w:fill="2C7873"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KPI VERIFIE</w:t>
            </w:r>
          </w:p>
        </w:tc>
        <w:tc>
          <w:tcPr>
            <w:tcW w:type="dxa" w:w="3469"/>
            <w:tcBorders>
              <w:top w:val="single" w:color="FFFFFF" w:sz="4"/>
              <w:left w:val="single" w:color="FFFFFF" w:sz="4"/>
              <w:bottom w:val="single" w:color="FFFFFF" w:sz="4"/>
              <w:right w:val="single" w:color="FFFFFF" w:sz="4"/>
            </w:tcBorders>
            <w:shd w:fill="2C7873"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RESULTAT</w:t>
            </w:r>
          </w:p>
        </w:tc>
      </w:tr>
      <w:tr>
        <w:trPr>
          <w:tblHeader w:val="false"/>
        </w:trPr>
        <w:tc>
          <w:tcPr>
            <w:tcW w:type="dxa" w:w="1485"/>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J+30</w:t>
            </w:r>
          </w:p>
        </w:tc>
        <w:tc>
          <w:tcPr>
            <w:tcW w:type="dxa" w:w="247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Appel telephonique 45 min avec le Champion</w:t>
            </w:r>
          </w:p>
        </w:tc>
        <w:tc>
          <w:tcPr>
            <w:tcW w:type="dxa" w:w="247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Taux rebuts stable ? Standard respecte ? Issues log vide ?</w:t>
            </w:r>
          </w:p>
        </w:tc>
        <w:tc>
          <w:tcPr>
            <w:tcW w:type="dxa" w:w="346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Rebuts a 2.1% : dans la cible. 1 derive mineure signalee et corrigee.</w:t>
            </w:r>
          </w:p>
        </w:tc>
      </w:tr>
      <w:tr>
        <w:trPr>
          <w:tblHeader w:val="false"/>
        </w:trPr>
        <w:tc>
          <w:tcPr>
            <w:tcW w:type="dxa" w:w="1485"/>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J+60</w:t>
            </w:r>
          </w:p>
        </w:tc>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Revue des indicateurs par mail + 30 min visio</w:t>
            </w:r>
          </w:p>
        </w:tc>
        <w:tc>
          <w:tcPr>
            <w:tcW w:type="dxa" w:w="2476"/>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TRS ? Score 5S ? Nb changements/semaine ?</w:t>
            </w:r>
          </w:p>
        </w:tc>
        <w:tc>
          <w:tcPr>
            <w:tcW w:type="dxa" w:w="346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TRS : 82%. Score 5S : 3.7/5. Stabilite confirmee.</w:t>
            </w:r>
          </w:p>
        </w:tc>
      </w:tr>
      <w:tr>
        <w:trPr>
          <w:tblHeader w:val="false"/>
        </w:trPr>
        <w:tc>
          <w:tcPr>
            <w:tcW w:type="dxa" w:w="1485"/>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J+90</w:t>
            </w:r>
          </w:p>
        </w:tc>
        <w:tc>
          <w:tcPr>
            <w:tcW w:type="dxa" w:w="247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Visite terrain 4h avec le Chef de Ligne</w:t>
            </w:r>
          </w:p>
        </w:tc>
        <w:tc>
          <w:tcPr>
            <w:tcW w:type="dxa" w:w="2476"/>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Audit 5S complet + mesure temps changement</w:t>
            </w:r>
          </w:p>
        </w:tc>
        <w:tc>
          <w:tcPr>
            <w:tcW w:type="dxa" w:w="346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Gains maintenus a 95%. Proposition nouvelle mission Ligne 4 acceptee.</w:t>
            </w:r>
          </w:p>
        </w:tc>
      </w:tr>
    </w:tbl>
    <w:p>
      <w:pPr>
        <w:spacing w:before="14" w:after="1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B45309" w:sz="10"/>
              <w:bottom w:val="none" w:sz="0" w:space="0" w:color="auto"/>
              <w:right w:val="none" w:sz="0" w:space="0" w:color="auto"/>
            </w:tcBorders>
            <w:shd w:fill="FFF8EB" w:color="auto" w:val="clear"/>
            <w:tcMar>
              <w:top w:type="dxa" w:w="80"/>
              <w:left w:type="dxa" w:w="120"/>
              <w:bottom w:type="dxa" w:w="80"/>
              <w:right w:type="dxa" w:w="120"/>
            </w:tcMar>
            <w:vAlign w:val="top"/>
          </w:tcPr>
          <w:p>
            <w:pPr>
              <w:spacing w:before="55" w:after="55"/>
              <w:jc w:val="both"/>
            </w:pPr>
            <w:r>
              <w:rPr>
                <w:rFonts w:ascii="Calibri" w:cs="Calibri" w:eastAsia="Calibri" w:hAnsi="Calibri"/>
                <w:b/>
                <w:bCs/>
                <w:i w:val="false"/>
                <w:iCs w:val="false"/>
                <w:color w:val="B45309"/>
                <w:sz w:val="19"/>
                <w:szCs w:val="19"/>
              </w:rPr>
              <w:t xml:space="preserve">PIEGE EVITE :  </w:t>
            </w:r>
            <w:r>
              <w:rPr>
                <w:rFonts w:ascii="Calibri" w:cs="Calibri" w:eastAsia="Calibri" w:hAnsi="Calibri"/>
                <w:b w:val="false"/>
                <w:bCs w:val="false"/>
                <w:i w:val="false"/>
                <w:iCs w:val="false"/>
                <w:color w:val="4A5568"/>
                <w:sz w:val="18"/>
                <w:szCs w:val="18"/>
              </w:rPr>
              <w:t xml:space="preserve">Piege evite : ne pas tomber dans l operationnel pendant le suivi post-mission. Le consultant est observateur et coach, pas executant. Chaque intervention au-dela du contrat doit etre refacturee ou refusee pour maintenir la posture d expert.</w:t>
            </w:r>
          </w:p>
        </w:tc>
      </w:tr>
    </w:tbl>
    <w:p>
      <w:pPr>
        <w:spacing w:before="0" w:after="0"/>
      </w:pPr>
      <w:r>
        <w:br w:type="page"/>
      </w: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594"/>
        <w:gridCol w:w="9312"/>
      </w:tblGrid>
      <w:tr>
        <w:trPr>
          <w:tblHeader w:val="false"/>
        </w:trPr>
        <w:tc>
          <w:tcPr>
            <w:tcW w:type="dxa" w:w="594"/>
            <w:tcBorders>
              <w:top w:val="none" w:color="FFFFFF" w:sz="0"/>
              <w:left w:val="none" w:color="FFFFFF" w:sz="0"/>
              <w:bottom w:val="none" w:color="FFFFFF" w:sz="0"/>
              <w:right w:val="none" w:color="FFFFFF" w:sz="0"/>
            </w:tcBorders>
            <w:shd w:fill="C8963E" w:color="auto" w:val="clear"/>
            <w:tcMar>
              <w:top w:type="dxa" w:w="50"/>
              <w:left w:type="dxa" w:w="40"/>
              <w:bottom w:type="dxa" w:w="50"/>
              <w:right w:type="dxa" w:w="40"/>
            </w:tcMar>
            <w:vAlign w:val="top"/>
          </w:tcPr>
          <w:p>
            <w:pPr>
              <w:spacing w:before="60" w:after="60"/>
              <w:jc w:val="center"/>
            </w:pPr>
            <w:r>
              <w:rPr>
                <w:rFonts w:ascii="Calibri" w:cs="Calibri" w:eastAsia="Calibri" w:hAnsi="Calibri"/>
                <w:b/>
                <w:bCs/>
                <w:i w:val="false"/>
                <w:iCs w:val="false"/>
                <w:color w:val="FFFFFF"/>
                <w:sz w:val="22"/>
                <w:szCs w:val="22"/>
              </w:rPr>
              <w:t xml:space="preserve">SYNTHESE</w:t>
            </w:r>
          </w:p>
        </w:tc>
        <w:tc>
          <w:tcPr>
            <w:tcW w:type="dxa" w:w="9312"/>
            <w:tcBorders>
              <w:top w:val="none" w:sz="0" w:space="0" w:color="auto"/>
              <w:left w:val="single" w:color="C8963E" w:sz="10"/>
              <w:bottom w:val="none" w:sz="0" w:space="0" w:color="auto"/>
              <w:right w:val="none" w:sz="0" w:space="0" w:color="auto"/>
            </w:tcBorders>
            <w:shd w:fill="F4F6F9" w:color="auto" w:val="clear"/>
            <w:tcMar>
              <w:top w:type="dxa" w:w="50"/>
              <w:left w:type="dxa" w:w="140"/>
              <w:bottom w:type="dxa" w:w="50"/>
              <w:right w:type="dxa" w:w="80"/>
            </w:tcMar>
            <w:vAlign w:val="top"/>
          </w:tcPr>
          <w:p>
            <w:pPr>
              <w:spacing w:before="60" w:after="60"/>
              <w:jc w:val="left"/>
            </w:pPr>
            <w:r>
              <w:rPr>
                <w:rFonts w:ascii="Calibri" w:cs="Calibri" w:eastAsia="Calibri" w:hAnsi="Calibri"/>
                <w:b/>
                <w:bCs/>
                <w:i w:val="false"/>
                <w:iCs w:val="false"/>
                <w:color w:val="C8963E"/>
                <w:sz w:val="22"/>
                <w:szCs w:val="22"/>
              </w:rPr>
              <w:t xml:space="preserve">TABLEAU RECAPITULATIF OUTILS x CHAPITRES</w:t>
            </w:r>
          </w:p>
        </w:tc>
      </w:tr>
    </w:tbl>
    <w:p>
      <w:pPr>
        <w:spacing w:before="30" w:after="24"/>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1783"/>
        <w:gridCol w:w="2179"/>
        <w:gridCol w:w="2773"/>
        <w:gridCol w:w="3171"/>
      </w:tblGrid>
      <w:tr>
        <w:trPr>
          <w:tblHeader/>
        </w:trPr>
        <w:tc>
          <w:tcPr>
            <w:tcW w:type="dxa" w:w="1783"/>
            <w:tcBorders>
              <w:top w:val="single" w:color="FFFFFF" w:sz="4"/>
              <w:left w:val="single" w:color="FFFFFF" w:sz="4"/>
              <w:bottom w:val="single" w:color="FFFFFF" w:sz="4"/>
              <w:right w:val="single" w:color="FFFFFF" w:sz="4"/>
            </w:tcBorders>
            <w:shd w:fill="0D1B2A"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PHASE</w:t>
            </w:r>
          </w:p>
        </w:tc>
        <w:tc>
          <w:tcPr>
            <w:tcW w:type="dxa" w:w="2179"/>
            <w:tcBorders>
              <w:top w:val="single" w:color="FFFFFF" w:sz="4"/>
              <w:left w:val="single" w:color="FFFFFF" w:sz="4"/>
              <w:bottom w:val="single" w:color="FFFFFF" w:sz="4"/>
              <w:right w:val="single" w:color="FFFFFF" w:sz="4"/>
            </w:tcBorders>
            <w:shd w:fill="0D1B2A"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ACTION CLE</w:t>
            </w:r>
          </w:p>
        </w:tc>
        <w:tc>
          <w:tcPr>
            <w:tcW w:type="dxa" w:w="2773"/>
            <w:tcBorders>
              <w:top w:val="single" w:color="FFFFFF" w:sz="4"/>
              <w:left w:val="single" w:color="FFFFFF" w:sz="4"/>
              <w:bottom w:val="single" w:color="FFFFFF" w:sz="4"/>
              <w:right w:val="single" w:color="FFFFFF" w:sz="4"/>
            </w:tcBorders>
            <w:shd w:fill="0D1B2A"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OUTIL UTILISE</w:t>
            </w:r>
          </w:p>
        </w:tc>
        <w:tc>
          <w:tcPr>
            <w:tcW w:type="dxa" w:w="3171"/>
            <w:tcBorders>
              <w:top w:val="single" w:color="FFFFFF" w:sz="4"/>
              <w:left w:val="single" w:color="FFFFFF" w:sz="4"/>
              <w:bottom w:val="single" w:color="FFFFFF" w:sz="4"/>
              <w:right w:val="single" w:color="FFFFFF" w:sz="4"/>
            </w:tcBorders>
            <w:shd w:fill="0D1B2A" w:color="auto" w:val="clear"/>
            <w:tcMar>
              <w:top w:type="dxa" w:w="80"/>
              <w:left w:type="dxa" w:w="120"/>
              <w:bottom w:type="dxa" w:w="80"/>
              <w:right w:type="dxa" w:w="120"/>
            </w:tcMar>
            <w:vAlign w:val="top"/>
          </w:tcPr>
          <w:p>
            <w:pPr>
              <w:spacing w:before="50" w:after="50"/>
              <w:jc w:val="center"/>
            </w:pPr>
            <w:r>
              <w:rPr>
                <w:rFonts w:ascii="Calibri" w:cs="Calibri" w:eastAsia="Calibri" w:hAnsi="Calibri"/>
                <w:b/>
                <w:bCs/>
                <w:i w:val="false"/>
                <w:iCs w:val="false"/>
                <w:color w:val="FFFFFF"/>
                <w:sz w:val="17"/>
                <w:szCs w:val="17"/>
              </w:rPr>
              <w:t xml:space="preserve">CHAPITRE</w:t>
            </w:r>
          </w:p>
        </w:tc>
      </w:tr>
      <w:tr>
        <w:trPr>
          <w:tblHeader w:val="false"/>
        </w:trPr>
        <w:tc>
          <w:tcPr>
            <w:tcW w:type="dxa" w:w="178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Cadrage</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Definition des vrais objectifs</w:t>
            </w:r>
          </w:p>
        </w:tc>
        <w:tc>
          <w:tcPr>
            <w:tcW w:type="dxa" w:w="277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Questionnaire de Cadrage Client (Outil 1.1)</w:t>
            </w:r>
          </w:p>
        </w:tc>
        <w:tc>
          <w:tcPr>
            <w:tcW w:type="dxa" w:w="317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1</w:t>
            </w:r>
          </w:p>
        </w:tc>
      </w:tr>
      <w:tr>
        <w:trPr>
          <w:tblHeader w:val="false"/>
        </w:trPr>
        <w:tc>
          <w:tcPr>
            <w:tcW w:type="dxa" w:w="178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Contrat</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Engagements SMART et ROI cible</w:t>
            </w:r>
          </w:p>
        </w:tc>
        <w:tc>
          <w:tcPr>
            <w:tcW w:type="dxa" w:w="277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Template Proposition Commerciale (Outil 2.1)</w:t>
            </w:r>
          </w:p>
        </w:tc>
        <w:tc>
          <w:tcPr>
            <w:tcW w:type="dxa" w:w="317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2</w:t>
            </w:r>
          </w:p>
        </w:tc>
      </w:tr>
      <w:tr>
        <w:trPr>
          <w:tblHeader w:val="false"/>
        </w:trPr>
        <w:tc>
          <w:tcPr>
            <w:tcW w:type="dxa" w:w="178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Lancement</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Alignement equipe et sponsor</w:t>
            </w:r>
          </w:p>
        </w:tc>
        <w:tc>
          <w:tcPr>
            <w:tcW w:type="dxa" w:w="277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Project Charter + Matrice RACI</w:t>
            </w:r>
          </w:p>
        </w:tc>
        <w:tc>
          <w:tcPr>
            <w:tcW w:type="dxa" w:w="317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3 et 5</w:t>
            </w:r>
          </w:p>
        </w:tc>
      </w:tr>
      <w:tr>
        <w:trPr>
          <w:tblHeader w:val="false"/>
        </w:trPr>
        <w:tc>
          <w:tcPr>
            <w:tcW w:type="dxa" w:w="178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Diagnostic</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Analyse flux et gaspillages</w:t>
            </w:r>
          </w:p>
        </w:tc>
        <w:tc>
          <w:tcPr>
            <w:tcW w:type="dxa" w:w="277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VSM + Grille TIMWOODS (Outil 4.1)</w:t>
            </w:r>
          </w:p>
        </w:tc>
        <w:tc>
          <w:tcPr>
            <w:tcW w:type="dxa" w:w="317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4</w:t>
            </w:r>
          </w:p>
        </w:tc>
      </w:tr>
      <w:tr>
        <w:trPr>
          <w:tblHeader w:val="false"/>
        </w:trPr>
        <w:tc>
          <w:tcPr>
            <w:tcW w:type="dxa" w:w="178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Analyse</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Identification causes racines</w:t>
            </w:r>
          </w:p>
        </w:tc>
        <w:tc>
          <w:tcPr>
            <w:tcW w:type="dxa" w:w="277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Ishikawa + 5 Pourquoi</w:t>
            </w:r>
          </w:p>
        </w:tc>
        <w:tc>
          <w:tcPr>
            <w:tcW w:type="dxa" w:w="317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6</w:t>
            </w:r>
          </w:p>
        </w:tc>
      </w:tr>
      <w:tr>
        <w:trPr>
          <w:tblHeader w:val="false"/>
        </w:trPr>
        <w:tc>
          <w:tcPr>
            <w:tcW w:type="dxa" w:w="178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Execution SMED</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Reduction temps de changement</w:t>
            </w:r>
          </w:p>
        </w:tc>
        <w:tc>
          <w:tcPr>
            <w:tcW w:type="dxa" w:w="277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Fiche Chronometrage SMED (Outil 8.1)</w:t>
            </w:r>
          </w:p>
        </w:tc>
        <w:tc>
          <w:tcPr>
            <w:tcW w:type="dxa" w:w="317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8</w:t>
            </w:r>
          </w:p>
        </w:tc>
      </w:tr>
      <w:tr>
        <w:trPr>
          <w:tblHeader w:val="false"/>
        </w:trPr>
        <w:tc>
          <w:tcPr>
            <w:tcW w:type="dxa" w:w="178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Posture</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Eviter la dependance et la sur-ingenirie</w:t>
            </w:r>
          </w:p>
        </w:tc>
        <w:tc>
          <w:tcPr>
            <w:tcW w:type="dxa" w:w="277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Journal des Pieges + regles de posture</w:t>
            </w:r>
          </w:p>
        </w:tc>
        <w:tc>
          <w:tcPr>
            <w:tcW w:type="dxa" w:w="317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17 et 18</w:t>
            </w:r>
          </w:p>
        </w:tc>
      </w:tr>
      <w:tr>
        <w:trPr>
          <w:tblHeader w:val="false"/>
        </w:trPr>
        <w:tc>
          <w:tcPr>
            <w:tcW w:type="dxa" w:w="178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Cloture</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Validation des gains financiers</w:t>
            </w:r>
          </w:p>
        </w:tc>
        <w:tc>
          <w:tcPr>
            <w:tcW w:type="dxa" w:w="277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Calculateur ROI (Outil 10.1)</w:t>
            </w:r>
          </w:p>
        </w:tc>
        <w:tc>
          <w:tcPr>
            <w:tcW w:type="dxa" w:w="317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10</w:t>
            </w:r>
          </w:p>
        </w:tc>
      </w:tr>
      <w:tr>
        <w:trPr>
          <w:tblHeader w:val="false"/>
        </w:trPr>
        <w:tc>
          <w:tcPr>
            <w:tcW w:type="dxa" w:w="178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Rapport</w:t>
            </w:r>
          </w:p>
        </w:tc>
        <w:tc>
          <w:tcPr>
            <w:tcW w:type="dxa" w:w="2179"/>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Livraison du rapport de mission</w:t>
            </w:r>
          </w:p>
        </w:tc>
        <w:tc>
          <w:tcPr>
            <w:tcW w:type="dxa" w:w="2773"/>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Template Rapport Final (Outil 11.1)</w:t>
            </w:r>
          </w:p>
        </w:tc>
        <w:tc>
          <w:tcPr>
            <w:tcW w:type="dxa" w:w="3171"/>
            <w:tcBorders>
              <w:top w:val="single" w:color="D1D9E6" w:sz="4"/>
              <w:left w:val="single" w:color="D1D9E6" w:sz="4"/>
              <w:bottom w:val="single" w:color="D1D9E6" w:sz="4"/>
              <w:right w:val="single" w:color="D1D9E6" w:sz="4"/>
            </w:tcBorders>
            <w:shd w:fill="FFFFFF"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11</w:t>
            </w:r>
          </w:p>
        </w:tc>
      </w:tr>
      <w:tr>
        <w:trPr>
          <w:tblHeader w:val="false"/>
        </w:trPr>
        <w:tc>
          <w:tcPr>
            <w:tcW w:type="dxa" w:w="178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Suivi</w:t>
            </w:r>
          </w:p>
        </w:tc>
        <w:tc>
          <w:tcPr>
            <w:tcW w:type="dxa" w:w="2179"/>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Maintien des acquis post-mission</w:t>
            </w:r>
          </w:p>
        </w:tc>
        <w:tc>
          <w:tcPr>
            <w:tcW w:type="dxa" w:w="2773"/>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Contrat de suivi + Audit (Outil 13.1 et 13.2)</w:t>
            </w:r>
          </w:p>
        </w:tc>
        <w:tc>
          <w:tcPr>
            <w:tcW w:type="dxa" w:w="3171"/>
            <w:tcBorders>
              <w:top w:val="single" w:color="D1D9E6" w:sz="4"/>
              <w:left w:val="single" w:color="D1D9E6" w:sz="4"/>
              <w:bottom w:val="single" w:color="D1D9E6" w:sz="4"/>
              <w:right w:val="single" w:color="D1D9E6" w:sz="4"/>
            </w:tcBorders>
            <w:shd w:fill="F4F6F9" w:color="auto" w:val="clear"/>
            <w:tcMar>
              <w:top w:type="dxa" w:w="80"/>
              <w:left w:type="dxa" w:w="120"/>
              <w:bottom w:type="dxa" w:w="80"/>
              <w:right w:type="dxa" w:w="120"/>
            </w:tcMar>
            <w:vAlign w:val="top"/>
          </w:tcPr>
          <w:p>
            <w:pPr>
              <w:spacing w:before="40" w:after="40"/>
              <w:jc w:val="both"/>
            </w:pPr>
            <w:r>
              <w:rPr>
                <w:rFonts w:ascii="Calibri" w:cs="Calibri" w:eastAsia="Calibri" w:hAnsi="Calibri"/>
                <w:b w:val="false"/>
                <w:bCs w:val="false"/>
                <w:i w:val="false"/>
                <w:iCs w:val="false"/>
                <w:color w:val="4A5568"/>
                <w:sz w:val="17"/>
                <w:szCs w:val="17"/>
              </w:rPr>
              <w:t xml:space="preserve">Chap. 13</w:t>
            </w:r>
          </w:p>
        </w:tc>
      </w:tr>
    </w:tbl>
    <w:p>
      <w:pPr>
        <w:spacing w:before="50" w:after="40"/>
      </w:pPr>
    </w:p>
    <w:tbl>
      <w:tblPr>
        <w:tblW w:type="dxa" w:w="9906"/>
        <w:tblBorders>
          <w:top w:val="single" w:color="auto" w:sz="4"/>
          <w:left w:val="single" w:color="auto" w:sz="4"/>
          <w:bottom w:val="single" w:color="auto" w:sz="4"/>
          <w:right w:val="single" w:color="auto" w:sz="4"/>
          <w:insideH w:val="single" w:color="auto" w:sz="4"/>
          <w:insideV w:val="single" w:color="auto" w:sz="4"/>
        </w:tblBorders>
      </w:tblPr>
      <w:tblGrid>
        <w:gridCol w:w="9906"/>
      </w:tblGrid>
      <w:tr>
        <w:trPr>
          <w:tblHeader w:val="false"/>
        </w:trPr>
        <w:tc>
          <w:tcPr>
            <w:tcW w:type="dxa" w:w="9906"/>
            <w:tcBorders>
              <w:top w:val="none" w:sz="0" w:space="0" w:color="auto"/>
              <w:left w:val="single" w:color="C8963E" w:sz="12"/>
              <w:bottom w:val="none" w:sz="0" w:space="0" w:color="auto"/>
              <w:right w:val="none" w:sz="0" w:space="0" w:color="auto"/>
            </w:tcBorders>
            <w:shd w:fill="F8F4EE" w:color="auto" w:val="clear"/>
            <w:tcMar>
              <w:top w:type="dxa" w:w="50"/>
              <w:left w:type="dxa" w:w="140"/>
              <w:bottom w:type="dxa" w:w="50"/>
              <w:right w:type="dxa" w:w="100"/>
            </w:tcMar>
            <w:vAlign w:val="top"/>
          </w:tcPr>
          <w:p>
            <w:pPr>
              <w:pBdr>
                <w:top w:val="none" w:color="FFFFFF" w:sz="0"/>
                <w:left w:val="none" w:color="FFFFFF" w:sz="0"/>
                <w:bottom w:val="single" w:color="C8963E" w:sz="4"/>
                <w:right w:val="none" w:color="FFFFFF" w:sz="0"/>
              </w:pBdr>
              <w:spacing w:before="50" w:after="20"/>
              <w:jc w:val="center"/>
            </w:pPr>
            <w:r>
              <w:rPr>
                <w:rFonts w:ascii="Calibri" w:cs="Calibri" w:eastAsia="Calibri" w:hAnsi="Calibri"/>
                <w:b/>
                <w:bCs/>
                <w:i w:val="false"/>
                <w:iCs w:val="false"/>
                <w:color w:val="C8963E"/>
                <w:sz w:val="20"/>
                <w:szCs w:val="20"/>
              </w:rPr>
              <w:t xml:space="preserve">CONCLUSION DE L'ETUDE DE CAS</w:t>
            </w:r>
          </w:p>
          <w:p>
            <w:pPr>
              <w:spacing w:before="30" w:after="50"/>
              <w:jc w:val="both"/>
            </w:pPr>
            <w:r>
              <w:rPr>
                <w:rFonts w:ascii="Calibri" w:cs="Calibri" w:eastAsia="Calibri" w:hAnsi="Calibri"/>
                <w:b w:val="false"/>
                <w:bCs w:val="false"/>
                <w:i w:val="false"/>
                <w:iCs w:val="false"/>
                <w:color w:val="4A5568"/>
                <w:sz w:val="19"/>
                <w:szCs w:val="19"/>
              </w:rPr>
              <w:t xml:space="preserve">Cette mission illustre que la reussite ne vient pas seulement de la technique SMED ou Six Sigma. Elle vient de la rigueur du cadrage (reformuler le probleme avant d agir), de la gestion des hommes (eviter les pieges de la dependance et de la perfection), et de la cloture formelle (rapport valide CDG, ROI certifie, relais autonomes). En suivant la methodologie pas a pas, le consultant a delivre un ROI de 200% tout en preparant l organisation a s ameliorer seule. La nouvelle mission sur la Ligne 4 est la meilleure preuve de la confiance gagnee.</w:t>
            </w:r>
          </w:p>
        </w:tc>
      </w:tr>
    </w:tbl>
    <w:sectPr>
      <w:headerReference w:type="default" r:id="rId6"/>
      <w:footerReference w:type="default" r:id="rId7"/>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1D9E6" w:sz="4"/>
      </w:pBdr>
      <w:jc w:val="center"/>
    </w:pPr>
    <w:r>
      <w:rPr>
        <w:rFonts w:ascii="Calibri" w:cs="Calibri" w:eastAsia="Calibri" w:hAnsi="Calibri"/>
        <w:b w:val="false"/>
        <w:bCs w:val="false"/>
        <w:i/>
        <w:iCs/>
        <w:color w:val="888888"/>
        <w:sz w:val="13"/>
        <w:szCs w:val="13"/>
      </w:rPr>
      <w:t xml:space="preserve">Manuel Pratique du Consultant en Excellence Operationnelle  |  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8963E" w:sz="4"/>
      </w:pBdr>
      <w:tabs>
        <w:tab w:val="right" w:pos="9026"/>
      </w:tabs>
      <w:jc w:val="right"/>
    </w:pPr>
    <w:r>
      <w:rPr>
        <w:rFonts w:ascii="Calibri" w:cs="Calibri" w:eastAsia="Calibri" w:hAnsi="Calibri"/>
        <w:b w:val="false"/>
        <w:bCs w:val="false"/>
        <w:i w:val="false"/>
        <w:iCs w:val="false"/>
        <w:color w:val="888888"/>
        <w:sz w:val="14"/>
        <w:szCs w:val="14"/>
      </w:rPr>
      <w:t xml:space="preserve">ETUDE DE CAS N°1 — PVC Extrusion Plus — Manuel du Consultant en Excellence Operationnelle</w:t>
    </w:r>
    <w:r>
      <w:rPr>
        <w:rFonts w:ascii="Calibri" w:cs="Calibri" w:eastAsia="Calibri" w:hAnsi="Calibri"/>
      </w:rPr>
      <w:t xml:space="preserve">	</w:t>
    </w:r>
    <w:r>
      <w:rPr>
        <w:rFonts w:ascii="Calibri" w:cs="Calibri" w:eastAsia="Calibri" w:hAnsi="Calibri"/>
        <w:b/>
        <w:bCs/>
        <w:i w:val="false"/>
        <w:iCs w:val="false"/>
        <w:color w:val="C8963E"/>
        <w:sz w:val="14"/>
        <w:szCs w:val="14"/>
      </w:rPr>
      <w:t xml:space="preserve">SMED + Six Sigma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A5568"/>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240" w:after="160"/>
      <w:outlineLvl w:val="0"/>
    </w:pPr>
    <w:rPr>
      <w:rFonts w:ascii="Calibri" w:cs="Calibri" w:eastAsia="Calibri" w:hAnsi="Calibri"/>
      <w:b/>
      <w:bCs/>
      <w:color w:val="FFFFFF"/>
      <w:sz w:val="32"/>
      <w:szCs w:val="32"/>
    </w:rPr>
  </w:style>
  <w:style w:type="paragraph" w:styleId="Heading2">
    <w:name w:val="Heading 2"/>
    <w:basedOn w:val="Normal"/>
    <w:next w:val="Normal"/>
    <w:qFormat/>
    <w:pPr>
      <w:spacing w:before="200" w:after="120"/>
      <w:outlineLvl w:val="1"/>
    </w:pPr>
    <w:rPr>
      <w:rFonts w:ascii="Calibri" w:cs="Calibri" w:eastAsia="Calibri" w:hAnsi="Calibri"/>
      <w:b/>
      <w:bCs/>
      <w:color w:val="FFFFF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2026-03-30T08:30:22.352Z</dcterms:created>
  <dcterms:modified xsi:type="dcterms:W3CDTF">2026-03-30T08:30:22.353Z</dcterms:modified>
</cp:coreProperties>
</file>

<file path=docProps/custom.xml><?xml version="1.0" encoding="utf-8"?>
<Properties xmlns="http://schemas.openxmlformats.org/officeDocument/2006/custom-properties" xmlns:vt="http://schemas.openxmlformats.org/officeDocument/2006/docPropsVTypes"/>
</file>